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jc w:val="center"/>
      </w:pPr>
      <w:r>
        <w:drawing>
          <wp:inline distT="0" distB="0" distL="0" distR="0">
            <wp:extent cx="18097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09750" cy="428625"/>
                    </a:xfrm>
                    <a:prstGeom prst="rect">
                      <a:avLst/>
                    </a:prstGeom>
                  </pic:spPr>
                </pic:pic>
              </a:graphicData>
            </a:graphic>
          </wp:inline>
        </w:drawing>
      </w:r>
    </w:p>
    <w:p>
      <w:pPr>
        <w:spacing w:after="160"/>
        <w:jc w:val="center"/>
      </w:pPr>
      <w:r>
        <w:rPr>
          <w:color w:val="5B6270"/>
          <w:sz w:val="16"/>
          <w:szCs w:val="16"/>
        </w:rPr>
        <w:t xml:space="preserve">Affordable HR Software. Powered by AI.  ·  madyhr.ai  ·  Template last reviewed September 2026</w:t>
      </w:r>
    </w:p>
    <w:tbl>
      <w:tblPr>
        <w:tblW w:type="dxa" w:w="9200"/>
        <w:tblBorders>
          <w:top w:val="single" w:color="0842EA" w:sz="6"/>
          <w:left w:val="single" w:color="0842EA" w:sz="6"/>
          <w:bottom w:val="single" w:color="0842EA" w:sz="6"/>
          <w:right w:val="single" w:color="0842EA" w:sz="6"/>
          <w:insideH w:val="none"/>
          <w:insideV w:val="none"/>
        </w:tblBorders>
      </w:tblPr>
      <w:tblGrid>
        <w:gridCol w:w="9200"/>
      </w:tblGrid>
      <w:tr>
        <w:tc>
          <w:tcPr>
            <w:tcW w:type="dxa" w:w="9200"/>
            <w:shd w:fill="E6ECFD" w:val="clear"/>
            <w:tcMar>
              <w:top w:type="dxa" w:w="120"/>
              <w:left w:type="dxa" w:w="160"/>
              <w:bottom w:type="dxa" w:w="120"/>
              <w:right w:type="dxa" w:w="160"/>
            </w:tcMar>
          </w:tcPr>
          <w:p>
            <w:pPr>
              <w:spacing w:after="60"/>
            </w:pPr>
            <w:r>
              <w:rPr>
                <w:b/>
                <w:bCs/>
                <w:color w:val="142442"/>
                <w:sz w:val="20"/>
                <w:szCs w:val="20"/>
              </w:rPr>
              <w:t xml:space="preserve">Worked example — how a finished job description looks</w:t>
            </w:r>
          </w:p>
          <w:p>
            <w:pPr>
              <w:spacing w:after="0"/>
            </w:pPr>
            <w:r>
              <w:rPr>
                <w:b w:val="false"/>
                <w:bCs w:val="false"/>
                <w:i w:val="false"/>
                <w:iCs w:val="false"/>
                <w:sz w:val="19"/>
                <w:szCs w:val="19"/>
              </w:rPr>
              <w:t xml:space="preserve">This is the MadyHR.ai job description template filled in for a real-style role, including how to advertise Skilled Worker sponsorship correctly. Download the blank template to write your own.</w:t>
            </w:r>
          </w:p>
        </w:tc>
      </w:tr>
    </w:tbl>
    <w:p>
      <w:pPr>
        <w:spacing w:after="60" w:before="200"/>
      </w:pPr>
      <w:r>
        <w:rPr>
          <w:b/>
          <w:bCs/>
          <w:color w:val="142442"/>
          <w:sz w:val="34"/>
          <w:szCs w:val="34"/>
        </w:rPr>
        <w:t xml:space="preserve">Job Description</w:t>
      </w:r>
    </w:p>
    <w:tbl>
      <w:tblPr>
        <w:tblW w:type="dxa" w:w="9200"/>
        <w:tblBorders>
          <w:top w:val="single" w:color="DFE2DD" w:sz="4"/>
          <w:left w:val="single" w:color="DFE2DD" w:sz="4"/>
          <w:bottom w:val="single" w:color="DFE2DD" w:sz="4"/>
          <w:right w:val="single" w:color="DFE2DD" w:sz="4"/>
          <w:insideH w:val="none"/>
          <w:insideV w:val="none"/>
        </w:tblBorders>
      </w:tblPr>
      <w:tblGrid>
        <w:gridCol w:w="2600"/>
        <w:gridCol w:w="6600"/>
      </w:tblGrid>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Job title</w:t>
            </w:r>
          </w:p>
        </w:tc>
        <w:tc>
          <w:tcPr>
            <w:tcW w:type="dxa" w:w="6600"/>
            <w:tcBorders>
              <w:top w:val="none"/>
              <w:left w:val="none"/>
              <w:bottom w:val="none"/>
              <w:right w:val="none"/>
            </w:tcBorders>
            <w:tcMar>
              <w:top w:type="dxa" w:w="70"/>
              <w:left w:type="dxa" w:w="100"/>
              <w:bottom w:type="dxa" w:w="70"/>
              <w:right w:type="dxa" w:w="100"/>
            </w:tcMar>
          </w:tcPr>
          <w:p>
            <w:r>
              <w:rPr>
                <w:b w:val="false"/>
                <w:bCs w:val="false"/>
                <w:i w:val="false"/>
                <w:iCs w:val="false"/>
                <w:sz w:val="21"/>
                <w:szCs w:val="21"/>
              </w:rPr>
              <w:t xml:space="preserve">DevOps Engineer</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Department</w:t>
            </w:r>
          </w:p>
        </w:tc>
        <w:tc>
          <w:tcPr>
            <w:tcW w:type="dxa" w:w="6600"/>
            <w:tcBorders>
              <w:top w:val="none"/>
              <w:left w:val="none"/>
              <w:bottom w:val="none"/>
              <w:right w:val="none"/>
            </w:tcBorders>
            <w:tcMar>
              <w:top w:type="dxa" w:w="70"/>
              <w:left w:type="dxa" w:w="100"/>
              <w:bottom w:type="dxa" w:w="70"/>
              <w:right w:type="dxa" w:w="100"/>
            </w:tcMar>
          </w:tcPr>
          <w:p>
            <w:r>
              <w:rPr>
                <w:b w:val="false"/>
                <w:bCs w:val="false"/>
                <w:i w:val="false"/>
                <w:iCs w:val="false"/>
                <w:sz w:val="21"/>
                <w:szCs w:val="21"/>
              </w:rPr>
              <w:t xml:space="preserve">Engineering</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Reports to</w:t>
            </w:r>
          </w:p>
        </w:tc>
        <w:tc>
          <w:tcPr>
            <w:tcW w:type="dxa" w:w="6600"/>
            <w:tcBorders>
              <w:top w:val="none"/>
              <w:left w:val="none"/>
              <w:bottom w:val="none"/>
              <w:right w:val="none"/>
            </w:tcBorders>
            <w:tcMar>
              <w:top w:type="dxa" w:w="70"/>
              <w:left w:type="dxa" w:w="100"/>
              <w:bottom w:type="dxa" w:w="70"/>
              <w:right w:type="dxa" w:w="100"/>
            </w:tcMar>
          </w:tcPr>
          <w:p>
            <w:r>
              <w:rPr>
                <w:b w:val="false"/>
                <w:bCs w:val="false"/>
                <w:i w:val="false"/>
                <w:iCs w:val="false"/>
                <w:sz w:val="21"/>
                <w:szCs w:val="21"/>
              </w:rPr>
              <w:t xml:space="preserve">Founder / CTO</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Location</w:t>
            </w:r>
          </w:p>
        </w:tc>
        <w:tc>
          <w:tcPr>
            <w:tcW w:type="dxa" w:w="6600"/>
            <w:tcBorders>
              <w:top w:val="none"/>
              <w:left w:val="none"/>
              <w:bottom w:val="none"/>
              <w:right w:val="none"/>
            </w:tcBorders>
            <w:tcMar>
              <w:top w:type="dxa" w:w="70"/>
              <w:left w:type="dxa" w:w="100"/>
              <w:bottom w:type="dxa" w:w="70"/>
              <w:right w:type="dxa" w:w="100"/>
            </w:tcMar>
          </w:tcPr>
          <w:p>
            <w:r>
              <w:rPr>
                <w:b w:val="false"/>
                <w:bCs w:val="false"/>
                <w:i w:val="false"/>
                <w:iCs w:val="false"/>
                <w:sz w:val="21"/>
                <w:szCs w:val="21"/>
              </w:rPr>
              <w:t xml:space="preserve">Hybrid — London office (2–3 days a week), rest remote</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Salary</w:t>
            </w:r>
          </w:p>
        </w:tc>
        <w:tc>
          <w:tcPr>
            <w:tcW w:type="dxa" w:w="6600"/>
            <w:tcBorders>
              <w:top w:val="none"/>
              <w:left w:val="none"/>
              <w:bottom w:val="none"/>
              <w:right w:val="none"/>
            </w:tcBorders>
            <w:tcMar>
              <w:top w:type="dxa" w:w="70"/>
              <w:left w:type="dxa" w:w="100"/>
              <w:bottom w:type="dxa" w:w="70"/>
              <w:right w:type="dxa" w:w="100"/>
            </w:tcMar>
          </w:tcPr>
          <w:p>
            <w:r>
              <w:rPr>
                <w:b w:val="false"/>
                <w:bCs w:val="false"/>
                <w:i w:val="false"/>
                <w:iCs w:val="false"/>
                <w:sz w:val="21"/>
                <w:szCs w:val="21"/>
              </w:rPr>
              <w:t xml:space="preserve">£55,000 – £60,000 per annum, depending on experience</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Hours</w:t>
            </w:r>
          </w:p>
        </w:tc>
        <w:tc>
          <w:tcPr>
            <w:tcW w:type="dxa" w:w="6600"/>
            <w:tcBorders>
              <w:top w:val="none"/>
              <w:left w:val="none"/>
              <w:bottom w:val="none"/>
              <w:right w:val="none"/>
            </w:tcBorders>
            <w:tcMar>
              <w:top w:type="dxa" w:w="70"/>
              <w:left w:type="dxa" w:w="100"/>
              <w:bottom w:type="dxa" w:w="70"/>
              <w:right w:type="dxa" w:w="100"/>
            </w:tcMar>
          </w:tcPr>
          <w:p>
            <w:r>
              <w:rPr>
                <w:b w:val="false"/>
                <w:bCs w:val="false"/>
                <w:i w:val="false"/>
                <w:iCs w:val="false"/>
                <w:sz w:val="21"/>
                <w:szCs w:val="21"/>
              </w:rPr>
              <w:t xml:space="preserve">Full-time, 37.5 hours per week. We're open to discussing flexible working.</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Contract type</w:t>
            </w:r>
          </w:p>
        </w:tc>
        <w:tc>
          <w:tcPr>
            <w:tcW w:type="dxa" w:w="6600"/>
            <w:tcBorders>
              <w:top w:val="none"/>
              <w:left w:val="none"/>
              <w:bottom w:val="none"/>
              <w:right w:val="none"/>
            </w:tcBorders>
            <w:tcMar>
              <w:top w:type="dxa" w:w="70"/>
              <w:left w:type="dxa" w:w="100"/>
              <w:bottom w:type="dxa" w:w="70"/>
              <w:right w:type="dxa" w:w="100"/>
            </w:tcMar>
          </w:tcPr>
          <w:p>
            <w:r>
              <w:rPr>
                <w:b w:val="false"/>
                <w:bCs w:val="false"/>
                <w:i w:val="false"/>
                <w:iCs w:val="false"/>
                <w:sz w:val="21"/>
                <w:szCs w:val="21"/>
              </w:rPr>
              <w:t xml:space="preserve">Permanent</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Visa sponsorship</w:t>
            </w:r>
          </w:p>
        </w:tc>
        <w:tc>
          <w:tcPr>
            <w:tcW w:type="dxa" w:w="6600"/>
            <w:tcBorders>
              <w:top w:val="none"/>
              <w:left w:val="none"/>
              <w:bottom w:val="none"/>
              <w:right w:val="none"/>
            </w:tcBorders>
            <w:tcMar>
              <w:top w:type="dxa" w:w="70"/>
              <w:left w:type="dxa" w:w="100"/>
              <w:bottom w:type="dxa" w:w="70"/>
              <w:right w:type="dxa" w:w="100"/>
            </w:tcMar>
          </w:tcPr>
          <w:p>
            <w:r>
              <w:rPr>
                <w:b w:val="false"/>
                <w:bCs w:val="false"/>
                <w:i w:val="false"/>
                <w:iCs w:val="false"/>
                <w:sz w:val="21"/>
                <w:szCs w:val="21"/>
              </w:rPr>
              <w:t xml:space="preserve">Available — see below</w:t>
            </w:r>
          </w:p>
        </w:tc>
      </w:tr>
    </w:tbl>
    <w:p>
      <w:pPr>
        <w:pStyle w:val="Heading1"/>
        <w:spacing w:after="100" w:before="220"/>
      </w:pPr>
      <w:r>
        <w:rPr>
          <w:b/>
          <w:bCs/>
          <w:color w:val="142442"/>
          <w:sz w:val="24"/>
          <w:szCs w:val="24"/>
        </w:rPr>
        <w:t xml:space="preserve">Purpose of the role</w:t>
      </w:r>
    </w:p>
    <w:p>
      <w:pPr>
        <w:spacing w:after="120"/>
      </w:pPr>
      <w:r>
        <w:rPr>
          <w:b w:val="false"/>
          <w:bCs w:val="false"/>
          <w:i w:val="false"/>
          <w:iCs w:val="false"/>
          <w:sz w:val="21"/>
          <w:szCs w:val="21"/>
        </w:rPr>
        <w:t xml:space="preserve">MadyHR.ai is UK HR and sponsor-compliance software used by small businesses that can't afford enterprise tools. You will own the infrastructure it runs on — keeping a platform that holds sensitive employee data fast, secure and boringly reliable as our customer base grows.</w:t>
      </w:r>
    </w:p>
    <w:p>
      <w:pPr>
        <w:pStyle w:val="Heading1"/>
        <w:spacing w:after="100" w:before="220"/>
      </w:pPr>
      <w:r>
        <w:rPr>
          <w:b/>
          <w:bCs/>
          <w:color w:val="142442"/>
          <w:sz w:val="24"/>
          <w:szCs w:val="24"/>
        </w:rPr>
        <w:t xml:space="preserve">Key responsibilities</w:t>
      </w:r>
    </w:p>
    <w:p>
      <w:pPr>
        <w:pStyle w:val="ListParagraph"/>
        <w:numPr>
          <w:ilvl w:val="0"/>
          <w:numId w:val="2"/>
        </w:numPr>
        <w:spacing w:after="70"/>
      </w:pPr>
      <w:r>
        <w:rPr>
          <w:b w:val="false"/>
          <w:bCs w:val="false"/>
          <w:i w:val="false"/>
          <w:iCs w:val="false"/>
          <w:sz w:val="21"/>
          <w:szCs w:val="21"/>
        </w:rPr>
        <w:t xml:space="preserve">Own our cloud infrastructure end to end — environments, deployments, networking, backups and disaster recovery.</w:t>
      </w:r>
    </w:p>
    <w:p>
      <w:pPr>
        <w:pStyle w:val="ListParagraph"/>
        <w:numPr>
          <w:ilvl w:val="0"/>
          <w:numId w:val="2"/>
        </w:numPr>
        <w:spacing w:after="70"/>
      </w:pPr>
      <w:r>
        <w:rPr>
          <w:b w:val="false"/>
          <w:bCs w:val="false"/>
          <w:i w:val="false"/>
          <w:iCs w:val="false"/>
          <w:sz w:val="21"/>
          <w:szCs w:val="21"/>
        </w:rPr>
        <w:t xml:space="preserve">Build and maintain CI/CD pipelines so the team can ship several times a day with confidence.</w:t>
      </w:r>
    </w:p>
    <w:p>
      <w:pPr>
        <w:pStyle w:val="ListParagraph"/>
        <w:numPr>
          <w:ilvl w:val="0"/>
          <w:numId w:val="2"/>
        </w:numPr>
        <w:spacing w:after="70"/>
      </w:pPr>
      <w:r>
        <w:rPr>
          <w:b w:val="false"/>
          <w:bCs w:val="false"/>
          <w:i w:val="false"/>
          <w:iCs w:val="false"/>
          <w:sz w:val="21"/>
          <w:szCs w:val="21"/>
        </w:rPr>
        <w:t xml:space="preserve">Set up monitoring, alerting and logging so we find problems before customers do, and keep uptime measurably high.</w:t>
      </w:r>
    </w:p>
    <w:p>
      <w:pPr>
        <w:pStyle w:val="ListParagraph"/>
        <w:numPr>
          <w:ilvl w:val="0"/>
          <w:numId w:val="2"/>
        </w:numPr>
        <w:spacing w:after="70"/>
      </w:pPr>
      <w:r>
        <w:rPr>
          <w:b w:val="false"/>
          <w:bCs w:val="false"/>
          <w:i w:val="false"/>
          <w:iCs w:val="false"/>
          <w:sz w:val="21"/>
          <w:szCs w:val="21"/>
        </w:rPr>
        <w:t xml:space="preserve">Harden the platform: secrets management, access control, encryption at rest and in transit, and patching — our customers trust us with employee data.</w:t>
      </w:r>
    </w:p>
    <w:p>
      <w:pPr>
        <w:pStyle w:val="ListParagraph"/>
        <w:numPr>
          <w:ilvl w:val="0"/>
          <w:numId w:val="2"/>
        </w:numPr>
        <w:spacing w:after="70"/>
      </w:pPr>
      <w:r>
        <w:rPr>
          <w:b w:val="false"/>
          <w:bCs w:val="false"/>
          <w:i w:val="false"/>
          <w:iCs w:val="false"/>
          <w:sz w:val="21"/>
          <w:szCs w:val="21"/>
        </w:rPr>
        <w:t xml:space="preserve">Manage infrastructure as code so environments are reproducible and reviewable.</w:t>
      </w:r>
    </w:p>
    <w:p>
      <w:pPr>
        <w:pStyle w:val="ListParagraph"/>
        <w:numPr>
          <w:ilvl w:val="0"/>
          <w:numId w:val="2"/>
        </w:numPr>
        <w:spacing w:after="70"/>
      </w:pPr>
      <w:r>
        <w:rPr>
          <w:b w:val="false"/>
          <w:bCs w:val="false"/>
          <w:i w:val="false"/>
          <w:iCs w:val="false"/>
          <w:sz w:val="21"/>
          <w:szCs w:val="21"/>
        </w:rPr>
        <w:t xml:space="preserve">Keep cloud costs visible and proportionate as we scale.</w:t>
      </w:r>
    </w:p>
    <w:p>
      <w:pPr>
        <w:pStyle w:val="ListParagraph"/>
        <w:numPr>
          <w:ilvl w:val="0"/>
          <w:numId w:val="2"/>
        </w:numPr>
        <w:spacing w:after="70"/>
      </w:pPr>
      <w:r>
        <w:rPr>
          <w:b w:val="false"/>
          <w:bCs w:val="false"/>
          <w:i w:val="false"/>
          <w:iCs w:val="false"/>
          <w:sz w:val="21"/>
          <w:szCs w:val="21"/>
        </w:rPr>
        <w:t xml:space="preserve">Support incident response, including a light-touch on-call rota shared across engineering, and other duties reasonably required.</w:t>
      </w:r>
    </w:p>
    <w:p>
      <w:pPr>
        <w:pStyle w:val="Heading1"/>
        <w:spacing w:after="100" w:before="220"/>
      </w:pPr>
      <w:r>
        <w:rPr>
          <w:b/>
          <w:bCs/>
          <w:color w:val="142442"/>
          <w:sz w:val="24"/>
          <w:szCs w:val="24"/>
        </w:rPr>
        <w:t xml:space="preserve">Person specification</w:t>
      </w:r>
    </w:p>
    <w:p>
      <w:pPr>
        <w:spacing w:after="70"/>
      </w:pPr>
      <w:r>
        <w:rPr>
          <w:b/>
          <w:bCs/>
          <w:i w:val="false"/>
          <w:iCs w:val="false"/>
          <w:sz w:val="21"/>
          <w:szCs w:val="21"/>
        </w:rPr>
        <w:t xml:space="preserve">Essential — you can't do the job without these:</w:t>
      </w:r>
    </w:p>
    <w:p>
      <w:pPr>
        <w:pStyle w:val="ListParagraph"/>
        <w:numPr>
          <w:ilvl w:val="0"/>
          <w:numId w:val="2"/>
        </w:numPr>
        <w:spacing w:after="70"/>
      </w:pPr>
      <w:r>
        <w:rPr>
          <w:b w:val="false"/>
          <w:bCs w:val="false"/>
          <w:i w:val="false"/>
          <w:iCs w:val="false"/>
          <w:sz w:val="21"/>
          <w:szCs w:val="21"/>
        </w:rPr>
        <w:t xml:space="preserve">Solid experience running production cloud infrastructure (any major provider or modern PaaS).</w:t>
      </w:r>
    </w:p>
    <w:p>
      <w:pPr>
        <w:pStyle w:val="ListParagraph"/>
        <w:numPr>
          <w:ilvl w:val="0"/>
          <w:numId w:val="2"/>
        </w:numPr>
        <w:spacing w:after="70"/>
      </w:pPr>
      <w:r>
        <w:rPr>
          <w:b w:val="false"/>
          <w:bCs w:val="false"/>
          <w:i w:val="false"/>
          <w:iCs w:val="false"/>
          <w:sz w:val="21"/>
          <w:szCs w:val="21"/>
        </w:rPr>
        <w:t xml:space="preserve">Confident with CI/CD tooling, containers and infrastructure as code.</w:t>
      </w:r>
    </w:p>
    <w:p>
      <w:pPr>
        <w:pStyle w:val="ListParagraph"/>
        <w:numPr>
          <w:ilvl w:val="0"/>
          <w:numId w:val="2"/>
        </w:numPr>
        <w:spacing w:after="70"/>
      </w:pPr>
      <w:r>
        <w:rPr>
          <w:b w:val="false"/>
          <w:bCs w:val="false"/>
          <w:i w:val="false"/>
          <w:iCs w:val="false"/>
          <w:sz w:val="21"/>
          <w:szCs w:val="21"/>
        </w:rPr>
        <w:t xml:space="preserve">Working knowledge of security fundamentals for systems that hold personal data.</w:t>
      </w:r>
    </w:p>
    <w:p>
      <w:pPr>
        <w:pStyle w:val="ListParagraph"/>
        <w:numPr>
          <w:ilvl w:val="0"/>
          <w:numId w:val="2"/>
        </w:numPr>
        <w:spacing w:after="70"/>
      </w:pPr>
      <w:r>
        <w:rPr>
          <w:b w:val="false"/>
          <w:bCs w:val="false"/>
          <w:i w:val="false"/>
          <w:iCs w:val="false"/>
          <w:sz w:val="21"/>
          <w:szCs w:val="21"/>
        </w:rPr>
        <w:t xml:space="preserve">Clear written communication — you can explain an outage or a design decision to non-engineers.</w:t>
      </w:r>
    </w:p>
    <w:p>
      <w:pPr>
        <w:spacing w:after="70"/>
      </w:pPr>
      <w:r>
        <w:rPr>
          <w:b/>
          <w:bCs/>
          <w:i w:val="false"/>
          <w:iCs w:val="false"/>
          <w:sz w:val="21"/>
          <w:szCs w:val="21"/>
        </w:rPr>
        <w:t xml:space="preserve">Desirable — helpful, but trainable or substitutable:</w:t>
      </w:r>
    </w:p>
    <w:p>
      <w:pPr>
        <w:pStyle w:val="ListParagraph"/>
        <w:numPr>
          <w:ilvl w:val="0"/>
          <w:numId w:val="2"/>
        </w:numPr>
        <w:spacing w:after="70"/>
      </w:pPr>
      <w:r>
        <w:rPr>
          <w:b w:val="false"/>
          <w:bCs w:val="false"/>
          <w:i w:val="false"/>
          <w:iCs w:val="false"/>
          <w:sz w:val="21"/>
          <w:szCs w:val="21"/>
        </w:rPr>
        <w:t xml:space="preserve">Experience in a startup or small team where you owned the whole pipeline.</w:t>
      </w:r>
    </w:p>
    <w:p>
      <w:pPr>
        <w:pStyle w:val="ListParagraph"/>
        <w:numPr>
          <w:ilvl w:val="0"/>
          <w:numId w:val="2"/>
        </w:numPr>
        <w:spacing w:after="70"/>
      </w:pPr>
      <w:r>
        <w:rPr>
          <w:b w:val="false"/>
          <w:bCs w:val="false"/>
          <w:i w:val="false"/>
          <w:iCs w:val="false"/>
          <w:sz w:val="21"/>
          <w:szCs w:val="21"/>
        </w:rPr>
        <w:t xml:space="preserve">Familiarity with Postgres operations, Python/FastAPI or Next.js deployments.</w:t>
      </w:r>
    </w:p>
    <w:p>
      <w:pPr>
        <w:pStyle w:val="ListParagraph"/>
        <w:numPr>
          <w:ilvl w:val="0"/>
          <w:numId w:val="2"/>
        </w:numPr>
        <w:spacing w:after="70"/>
      </w:pPr>
      <w:r>
        <w:rPr>
          <w:b w:val="false"/>
          <w:bCs w:val="false"/>
          <w:i w:val="false"/>
          <w:iCs w:val="false"/>
          <w:sz w:val="21"/>
          <w:szCs w:val="21"/>
        </w:rPr>
        <w:t xml:space="preserve">Exposure to UK GDPR / ISO 27001-style controls in practice.</w:t>
      </w:r>
    </w:p>
    <w:p>
      <w:pPr>
        <w:pStyle w:val="Heading1"/>
        <w:spacing w:after="100" w:before="220"/>
      </w:pPr>
      <w:r>
        <w:rPr>
          <w:b/>
          <w:bCs/>
          <w:color w:val="142442"/>
          <w:sz w:val="24"/>
          <w:szCs w:val="24"/>
        </w:rPr>
        <w:t xml:space="preserve">What we offer</w:t>
      </w:r>
    </w:p>
    <w:p>
      <w:pPr>
        <w:pStyle w:val="ListParagraph"/>
        <w:numPr>
          <w:ilvl w:val="0"/>
          <w:numId w:val="2"/>
        </w:numPr>
        <w:spacing w:after="70"/>
      </w:pPr>
      <w:r>
        <w:rPr>
          <w:b w:val="false"/>
          <w:bCs w:val="false"/>
          <w:i w:val="false"/>
          <w:iCs w:val="false"/>
          <w:sz w:val="21"/>
          <w:szCs w:val="21"/>
        </w:rPr>
        <w:t xml:space="preserve">£55,000 – £60,000 depending on experience, reviewed annually.</w:t>
      </w:r>
    </w:p>
    <w:p>
      <w:pPr>
        <w:pStyle w:val="ListParagraph"/>
        <w:numPr>
          <w:ilvl w:val="0"/>
          <w:numId w:val="2"/>
        </w:numPr>
        <w:spacing w:after="70"/>
      </w:pPr>
      <w:r>
        <w:rPr>
          <w:b w:val="false"/>
          <w:bCs w:val="false"/>
          <w:i w:val="false"/>
          <w:iCs w:val="false"/>
          <w:sz w:val="21"/>
          <w:szCs w:val="21"/>
        </w:rPr>
        <w:t xml:space="preserve">25 days' holiday plus bank holidays (statutory minimum comfortably exceeded).</w:t>
      </w:r>
    </w:p>
    <w:p>
      <w:pPr>
        <w:pStyle w:val="ListParagraph"/>
        <w:numPr>
          <w:ilvl w:val="0"/>
          <w:numId w:val="2"/>
        </w:numPr>
        <w:spacing w:after="70"/>
      </w:pPr>
      <w:r>
        <w:rPr>
          <w:b w:val="false"/>
          <w:bCs w:val="false"/>
          <w:i w:val="false"/>
          <w:iCs w:val="false"/>
          <w:sz w:val="21"/>
          <w:szCs w:val="21"/>
        </w:rPr>
        <w:t xml:space="preserve">Workplace pension with automatic enrolment.</w:t>
      </w:r>
    </w:p>
    <w:p>
      <w:pPr>
        <w:pStyle w:val="ListParagraph"/>
        <w:numPr>
          <w:ilvl w:val="0"/>
          <w:numId w:val="2"/>
        </w:numPr>
        <w:spacing w:after="70"/>
      </w:pPr>
      <w:r>
        <w:rPr>
          <w:b w:val="false"/>
          <w:bCs w:val="false"/>
          <w:i w:val="false"/>
          <w:iCs w:val="false"/>
          <w:sz w:val="21"/>
          <w:szCs w:val="21"/>
        </w:rPr>
        <w:t xml:space="preserve">Hybrid working from our London office, £1,000 annual learning budget, and your choice of kit.</w:t>
      </w:r>
    </w:p>
    <w:p>
      <w:pPr>
        <w:pStyle w:val="ListParagraph"/>
        <w:numPr>
          <w:ilvl w:val="0"/>
          <w:numId w:val="2"/>
        </w:numPr>
        <w:spacing w:after="70"/>
      </w:pPr>
      <w:r>
        <w:rPr>
          <w:b w:val="false"/>
          <w:bCs w:val="false"/>
          <w:i w:val="false"/>
          <w:iCs w:val="false"/>
          <w:sz w:val="21"/>
          <w:szCs w:val="21"/>
        </w:rPr>
        <w:t xml:space="preserve">A direct hand in a product that keeps small employers on the right side of UK compliance.</w:t>
      </w:r>
    </w:p>
    <w:p>
      <w:pPr>
        <w:pStyle w:val="Heading1"/>
        <w:spacing w:after="100" w:before="220"/>
      </w:pPr>
      <w:r>
        <w:rPr>
          <w:b/>
          <w:bCs/>
          <w:color w:val="142442"/>
          <w:sz w:val="24"/>
          <w:szCs w:val="24"/>
        </w:rPr>
        <w:t xml:space="preserve">Visa sponsorship</w:t>
      </w:r>
    </w:p>
    <w:p>
      <w:pPr>
        <w:spacing w:after="120"/>
      </w:pPr>
      <w:r>
        <w:rPr>
          <w:b w:val="false"/>
          <w:bCs w:val="false"/>
          <w:i w:val="false"/>
          <w:iCs w:val="false"/>
          <w:sz w:val="21"/>
          <w:szCs w:val="21"/>
        </w:rPr>
        <w:t xml:space="preserve">We are a licensed sponsor and this role is eligible for sponsorship under the Skilled Worker route (Standard Occupational Classification 2134). The advertised salary meets the route's requirements. If you need sponsorship, tell us in your application — it will not count against you. We pay the Certificate of Sponsorship fee and the Immigration Skills Charge, as the law requires of sponsors; we'll discuss the visa application fee and Immigration Health Surcharge with you at offer stage.</w:t>
      </w:r>
    </w:p>
    <w:p>
      <w:pPr>
        <w:pStyle w:val="Heading1"/>
        <w:spacing w:after="100" w:before="220"/>
      </w:pPr>
      <w:r>
        <w:rPr>
          <w:b/>
          <w:bCs/>
          <w:color w:val="142442"/>
          <w:sz w:val="24"/>
          <w:szCs w:val="24"/>
        </w:rPr>
        <w:t xml:space="preserve">Equal opportunities</w:t>
      </w:r>
    </w:p>
    <w:p>
      <w:pPr>
        <w:spacing w:after="120"/>
      </w:pPr>
      <w:r>
        <w:rPr>
          <w:b w:val="false"/>
          <w:bCs w:val="false"/>
          <w:i w:val="false"/>
          <w:iCs w:val="false"/>
          <w:sz w:val="21"/>
          <w:szCs w:val="21"/>
        </w:rPr>
        <w:t xml:space="preserve">MadyHR.ai is an equal opportunities employer. We welcome applications from all suitably qualified candidates regardless of age, disability, gender reassignment, marriage or civil partnership, pregnancy or maternity, race, religion or belief, sex, or sexual orientation. If you need an adjustment at any stage of the recruitment process — to the application, the interview, or an assessment — tell us and we will make reasonable adjustments.</w:t>
      </w:r>
    </w:p>
    <w:p>
      <w:pPr>
        <w:spacing w:before="160"/>
      </w:pPr>
      <w:r>
        <w:rPr>
          <w:i/>
          <w:iCs/>
          <w:color w:val="5B6270"/>
          <w:sz w:val="17"/>
          <w:szCs w:val="17"/>
        </w:rPr>
        <w:t xml:space="preserve">Example job description built with the free MadyHR.ai template — download the blank version at madyhr.ai/resources/templates. Salary threshold and occupation-code details correct as at September 2026; always check the current Immigration Rules before advertising a sponsored role.</w:t>
      </w:r>
    </w:p>
    <w:sectPr>
      <w:pgSz w:w="11906" w:h="16838" w:orient="portrait"/>
      <w:pgMar w:top="95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bb601761da53f588f52592364984311da66bc8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2026-09-11T01:21:03.740Z</dcterms:created>
  <dcterms:modified xsi:type="dcterms:W3CDTF">2026-09-11T01:21:03.740Z</dcterms:modified>
</cp:coreProperties>
</file>

<file path=docProps/custom.xml><?xml version="1.0" encoding="utf-8"?>
<Properties xmlns="http://schemas.openxmlformats.org/officeDocument/2006/custom-properties" xmlns:vt="http://schemas.openxmlformats.org/officeDocument/2006/docPropsVTypes"/>
</file>