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jc w:val="center"/>
      </w:pPr>
      <w:r>
        <w:drawing>
          <wp:inline distT="0" distB="0" distL="0" distR="0">
            <wp:extent cx="18097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428625"/>
                    </a:xfrm>
                    <a:prstGeom prst="rect">
                      <a:avLst/>
                    </a:prstGeom>
                  </pic:spPr>
                </pic:pic>
              </a:graphicData>
            </a:graphic>
          </wp:inline>
        </w:drawing>
      </w:r>
    </w:p>
    <w:p>
      <w:pPr>
        <w:spacing w:after="160"/>
        <w:jc w:val="center"/>
      </w:pPr>
      <w:r>
        <w:rPr>
          <w:color w:val="5B6270"/>
          <w:sz w:val="16"/>
          <w:szCs w:val="16"/>
        </w:rPr>
        <w:t xml:space="preserve">Affordable HR Software. Powered by AI.  ·  madyhr.ai  ·  Template last reviewed September 2026</w:t>
      </w:r>
    </w:p>
    <w:tbl>
      <w:tblPr>
        <w:tblW w:type="dxa" w:w="9200"/>
        <w:tblBorders>
          <w:top w:val="single" w:color="0842EA" w:sz="6"/>
          <w:left w:val="single" w:color="0842EA" w:sz="6"/>
          <w:bottom w:val="single" w:color="0842EA" w:sz="6"/>
          <w:right w:val="single" w:color="0842EA" w:sz="6"/>
          <w:insideH w:val="none"/>
          <w:insideV w:val="none"/>
        </w:tblBorders>
      </w:tblPr>
      <w:tblGrid>
        <w:gridCol w:w="9200"/>
      </w:tblGrid>
      <w:tr>
        <w:tc>
          <w:tcPr>
            <w:tcW w:type="dxa" w:w="9200"/>
            <w:shd w:fill="E6ECFD" w:val="clear"/>
            <w:tcMar>
              <w:top w:type="dxa" w:w="120"/>
              <w:left w:type="dxa" w:w="160"/>
              <w:bottom w:type="dxa" w:w="120"/>
              <w:right w:type="dxa" w:w="160"/>
            </w:tcMar>
          </w:tcPr>
          <w:p>
            <w:pPr>
              <w:spacing w:after="60"/>
            </w:pPr>
            <w:r>
              <w:rPr>
                <w:b/>
                <w:bCs/>
                <w:color w:val="142442"/>
                <w:sz w:val="20"/>
                <w:szCs w:val="20"/>
              </w:rPr>
              <w:t xml:space="preserve">How to use this template — delete this box and the MadyHR.ai header above before publishing</w:t>
            </w:r>
          </w:p>
          <w:p>
            <w:pPr>
              <w:spacing w:after="40"/>
            </w:pPr>
            <w:r>
              <w:rPr>
                <w:b w:val="false"/>
                <w:bCs w:val="false"/>
                <w:i w:val="false"/>
                <w:iCs w:val="false"/>
                <w:sz w:val="19"/>
                <w:szCs w:val="19"/>
              </w:rPr>
              <w:t xml:space="preserve">Replace every </w:t>
            </w:r>
            <w:r>
              <w:rPr>
                <w:b/>
                <w:bCs/>
                <w:color w:val="0842EA"/>
                <w:sz w:val="19"/>
                <w:szCs w:val="19"/>
              </w:rPr>
              <w:t xml:space="preserve">[blue placeholder]</w:t>
            </w:r>
            <w:r>
              <w:rPr>
                <w:b w:val="false"/>
                <w:bCs w:val="false"/>
                <w:i w:val="false"/>
                <w:iCs w:val="false"/>
                <w:sz w:val="19"/>
                <w:szCs w:val="19"/>
              </w:rPr>
              <w:t xml:space="preserve"> and delete anything that doesn't apply. Aim for 5–8 responsibilities and only genuinely necessary requirements — the “Writing it safely” notes at the end explain the wording that gets employers into trouble.</w:t>
            </w:r>
          </w:p>
          <w:p>
            <w:pPr>
              <w:spacing w:after="0"/>
            </w:pPr>
            <w:r>
              <w:rPr>
                <w:b w:val="false"/>
                <w:bCs w:val="false"/>
                <w:i w:val="false"/>
                <w:iCs w:val="false"/>
                <w:sz w:val="19"/>
                <w:szCs w:val="19"/>
              </w:rPr>
              <w:t xml:space="preserve">If this role might need visa sponsorship: check the occupation (SOC) code is eligible at degree level (RQF 6) and that the salary meets the current Skilled Worker threshold before you advertise.</w:t>
            </w:r>
          </w:p>
        </w:tc>
      </w:tr>
    </w:tbl>
    <w:p>
      <w:pPr>
        <w:spacing w:after="60" w:before="200"/>
      </w:pPr>
      <w:r>
        <w:rPr>
          <w:b/>
          <w:bCs/>
          <w:color w:val="142442"/>
          <w:sz w:val="34"/>
          <w:szCs w:val="34"/>
        </w:rPr>
        <w:t xml:space="preserve">Job Description</w:t>
      </w:r>
    </w:p>
    <w:tbl>
      <w:tblPr>
        <w:tblW w:type="dxa" w:w="9200"/>
        <w:tblBorders>
          <w:top w:val="single" w:color="DFE2DD" w:sz="4"/>
          <w:left w:val="single" w:color="DFE2DD" w:sz="4"/>
          <w:bottom w:val="single" w:color="DFE2DD" w:sz="4"/>
          <w:right w:val="single" w:color="DFE2DD" w:sz="4"/>
          <w:insideH w:val="none"/>
          <w:insideV w:val="none"/>
        </w:tblBorders>
      </w:tblPr>
      <w:tblGrid>
        <w:gridCol w:w="2600"/>
        <w:gridCol w:w="6600"/>
      </w:tblGrid>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Job title</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[Job Title]</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Department</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[Department]</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Reports to</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[Manager Job Title]</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Location</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[Office / Hybrid / Remote]</w:t>
            </w:r>
            <w:r>
              <w:rPr>
                <w:b w:val="false"/>
                <w:bCs w:val="false"/>
                <w:i w:val="false"/>
                <w:iCs w:val="false"/>
                <w:sz w:val="21"/>
                <w:szCs w:val="21"/>
              </w:rPr>
              <w:t xml:space="preserve"> — </w:t>
            </w:r>
            <w:r>
              <w:rPr>
                <w:b/>
                <w:bCs/>
                <w:color w:val="0842EA"/>
                <w:sz w:val="21"/>
                <w:szCs w:val="21"/>
              </w:rPr>
              <w:t xml:space="preserve">[Address or area]</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Salary</w:t>
            </w:r>
          </w:p>
        </w:tc>
        <w:tc>
          <w:tcPr>
            <w:tcW w:type="dxa" w:w="6600"/>
            <w:tcBorders>
              <w:top w:val="none"/>
              <w:left w:val="none"/>
              <w:bottom w:val="none"/>
              <w:right w:val="none"/>
            </w:tcBorders>
            <w:tcMar>
              <w:top w:type="dxa" w:w="70"/>
              <w:left w:type="dxa" w:w="100"/>
              <w:bottom w:type="dxa" w:w="70"/>
              <w:right w:type="dxa" w:w="100"/>
            </w:tcMar>
          </w:tcPr>
          <w:p>
            <w:r>
              <w:rPr>
                <w:b w:val="false"/>
                <w:bCs w:val="false"/>
                <w:i w:val="false"/>
                <w:iCs w:val="false"/>
                <w:sz w:val="21"/>
                <w:szCs w:val="21"/>
              </w:rPr>
              <w:t xml:space="preserve">£</w:t>
            </w:r>
            <w:r>
              <w:rPr>
                <w:b/>
                <w:bCs/>
                <w:color w:val="0842EA"/>
                <w:sz w:val="21"/>
                <w:szCs w:val="21"/>
              </w:rPr>
              <w:t xml:space="preserve">[Min]</w:t>
            </w:r>
            <w:r>
              <w:rPr>
                <w:b w:val="false"/>
                <w:bCs w:val="false"/>
                <w:i w:val="false"/>
                <w:iCs w:val="false"/>
                <w:sz w:val="21"/>
                <w:szCs w:val="21"/>
              </w:rPr>
              <w:t xml:space="preserve"> – £</w:t>
            </w:r>
            <w:r>
              <w:rPr>
                <w:b/>
                <w:bCs/>
                <w:color w:val="0842EA"/>
                <w:sz w:val="21"/>
                <w:szCs w:val="21"/>
              </w:rPr>
              <w:t xml:space="preserve">[Max]</w:t>
            </w:r>
            <w:r>
              <w:rPr>
                <w:b w:val="false"/>
                <w:bCs w:val="false"/>
                <w:i w:val="false"/>
                <w:iCs w:val="false"/>
                <w:sz w:val="21"/>
                <w:szCs w:val="21"/>
              </w:rPr>
              <w:t xml:space="preserve"> per annum </w:t>
            </w:r>
            <w:r>
              <w:rPr>
                <w:b/>
                <w:bCs/>
                <w:color w:val="0842EA"/>
                <w:sz w:val="21"/>
                <w:szCs w:val="21"/>
              </w:rPr>
              <w:t xml:space="preserve">[or £X per hour]</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Hours</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[Full-time / Part-time]</w:t>
            </w:r>
            <w:r>
              <w:rPr>
                <w:b w:val="false"/>
                <w:bCs w:val="false"/>
                <w:i w:val="false"/>
                <w:iCs w:val="false"/>
                <w:sz w:val="21"/>
                <w:szCs w:val="21"/>
              </w:rPr>
              <w:t xml:space="preserve">, </w:t>
            </w:r>
            <w:r>
              <w:rPr>
                <w:b/>
                <w:bCs/>
                <w:color w:val="0842EA"/>
                <w:sz w:val="21"/>
                <w:szCs w:val="21"/>
              </w:rPr>
              <w:t xml:space="preserve">[Hours per week]</w:t>
            </w:r>
            <w:r>
              <w:rPr>
                <w:b w:val="false"/>
                <w:bCs w:val="false"/>
                <w:i w:val="false"/>
                <w:iCs w:val="false"/>
                <w:sz w:val="21"/>
                <w:szCs w:val="21"/>
              </w:rPr>
              <w:t xml:space="preserve">. We're open to discussing flexible working.</w:t>
            </w:r>
          </w:p>
        </w:tc>
      </w:tr>
      <w:tr>
        <w:tc>
          <w:tcPr>
            <w:tcW w:type="dxa" w:w="2600"/>
            <w:tcBorders>
              <w:top w:val="none"/>
              <w:left w:val="none"/>
              <w:bottom w:val="none"/>
              <w:right w:val="none"/>
            </w:tcBorders>
            <w:tcMar>
              <w:top w:type="dxa" w:w="70"/>
              <w:left w:type="dxa" w:w="100"/>
              <w:bottom w:type="dxa" w:w="70"/>
              <w:right w:type="dxa" w:w="100"/>
            </w:tcMar>
          </w:tcPr>
          <w:p>
            <w:r>
              <w:rPr>
                <w:b/>
                <w:bCs/>
                <w:color w:val="142442"/>
                <w:sz w:val="21"/>
                <w:szCs w:val="21"/>
              </w:rPr>
              <w:t xml:space="preserve">Contract type</w:t>
            </w:r>
          </w:p>
        </w:tc>
        <w:tc>
          <w:tcPr>
            <w:tcW w:type="dxa" w:w="6600"/>
            <w:tcBorders>
              <w:top w:val="none"/>
              <w:left w:val="none"/>
              <w:bottom w:val="none"/>
              <w:right w:val="none"/>
            </w:tcBorders>
            <w:tcMar>
              <w:top w:type="dxa" w:w="70"/>
              <w:left w:type="dxa" w:w="100"/>
              <w:bottom w:type="dxa" w:w="70"/>
              <w:right w:type="dxa" w:w="100"/>
            </w:tcMar>
          </w:tcPr>
          <w:p>
            <w:r>
              <w:rPr>
                <w:b/>
                <w:bCs/>
                <w:color w:val="0842EA"/>
                <w:sz w:val="21"/>
                <w:szCs w:val="21"/>
              </w:rPr>
              <w:t xml:space="preserve">[Permanent / Fixed-term until … / Temporary]</w:t>
            </w:r>
          </w:p>
        </w:tc>
      </w:tr>
    </w:tbl>
    <w:p>
      <w:pPr>
        <w:pStyle w:val="Heading1"/>
        <w:spacing w:after="100" w:before="220"/>
      </w:pPr>
      <w:r>
        <w:rPr>
          <w:b/>
          <w:bCs/>
          <w:color w:val="142442"/>
          <w:sz w:val="24"/>
          <w:szCs w:val="24"/>
        </w:rPr>
        <w:t xml:space="preserve">Purpose of the role</w:t>
      </w:r>
    </w:p>
    <w:p>
      <w:pPr>
        <w:spacing w:after="120"/>
      </w:pPr>
      <w:r>
        <w:rPr>
          <w:b/>
          <w:bCs/>
          <w:color w:val="0842EA"/>
          <w:sz w:val="21"/>
          <w:szCs w:val="21"/>
        </w:rPr>
        <w:t xml:space="preserve">[One or two sentences summarising why this role exists and what it contributes to the company. Write this last — it's easiest once the responsibilities below are clear.]</w:t>
      </w:r>
    </w:p>
    <w:p>
      <w:pPr>
        <w:pStyle w:val="Heading1"/>
        <w:spacing w:after="100" w:before="220"/>
      </w:pPr>
      <w:r>
        <w:rPr>
          <w:b/>
          <w:bCs/>
          <w:color w:val="142442"/>
          <w:sz w:val="24"/>
          <w:szCs w:val="24"/>
        </w:rPr>
        <w:t xml:space="preserve">Key responsibilities</w:t>
      </w:r>
    </w:p>
    <w:p>
      <w:pPr>
        <w:pStyle w:val="ListParagraph"/>
        <w:numPr>
          <w:ilvl w:val="0"/>
          <w:numId w:val="2"/>
        </w:numPr>
        <w:spacing w:after="70"/>
      </w:pPr>
      <w:r>
        <w:rPr>
          <w:b/>
          <w:bCs/>
          <w:color w:val="0842EA"/>
          <w:sz w:val="21"/>
          <w:szCs w:val="21"/>
        </w:rPr>
        <w:t xml:space="preserve">[Responsibility one — start with an action verb: “Manage…”, “Coordinate…”, “Deliver…”]</w:t>
      </w:r>
    </w:p>
    <w:p>
      <w:pPr>
        <w:pStyle w:val="ListParagraph"/>
        <w:numPr>
          <w:ilvl w:val="0"/>
          <w:numId w:val="2"/>
        </w:numPr>
        <w:spacing w:after="70"/>
      </w:pPr>
      <w:r>
        <w:rPr>
          <w:b/>
          <w:bCs/>
          <w:color w:val="0842EA"/>
          <w:sz w:val="21"/>
          <w:szCs w:val="21"/>
        </w:rPr>
        <w:t xml:space="preserve">[Responsibility two]</w:t>
      </w:r>
    </w:p>
    <w:p>
      <w:pPr>
        <w:pStyle w:val="ListParagraph"/>
        <w:numPr>
          <w:ilvl w:val="0"/>
          <w:numId w:val="2"/>
        </w:numPr>
        <w:spacing w:after="70"/>
      </w:pPr>
      <w:r>
        <w:rPr>
          <w:b/>
          <w:bCs/>
          <w:color w:val="0842EA"/>
          <w:sz w:val="21"/>
          <w:szCs w:val="21"/>
        </w:rPr>
        <w:t xml:space="preserve">[Responsibility three]</w:t>
      </w:r>
    </w:p>
    <w:p>
      <w:pPr>
        <w:pStyle w:val="ListParagraph"/>
        <w:numPr>
          <w:ilvl w:val="0"/>
          <w:numId w:val="2"/>
        </w:numPr>
        <w:spacing w:after="70"/>
      </w:pPr>
      <w:r>
        <w:rPr>
          <w:b/>
          <w:bCs/>
          <w:color w:val="0842EA"/>
          <w:sz w:val="21"/>
          <w:szCs w:val="21"/>
        </w:rPr>
        <w:t xml:space="preserve">[Responsibility four]</w:t>
      </w:r>
    </w:p>
    <w:p>
      <w:pPr>
        <w:pStyle w:val="ListParagraph"/>
        <w:numPr>
          <w:ilvl w:val="0"/>
          <w:numId w:val="2"/>
        </w:numPr>
        <w:spacing w:after="70"/>
      </w:pPr>
      <w:r>
        <w:rPr>
          <w:b/>
          <w:bCs/>
          <w:color w:val="0842EA"/>
          <w:sz w:val="21"/>
          <w:szCs w:val="21"/>
        </w:rPr>
        <w:t xml:space="preserve">[Add or remove rows — aim for 5–8 core responsibilities, not every task. End with a catch-all like “other duties reasonably required” if you want flexibility.]</w:t>
      </w:r>
    </w:p>
    <w:p>
      <w:pPr>
        <w:pStyle w:val="Heading1"/>
        <w:spacing w:after="100" w:before="220"/>
      </w:pPr>
      <w:r>
        <w:rPr>
          <w:b/>
          <w:bCs/>
          <w:color w:val="142442"/>
          <w:sz w:val="24"/>
          <w:szCs w:val="24"/>
        </w:rPr>
        <w:t xml:space="preserve">Person specification</w:t>
      </w:r>
    </w:p>
    <w:p>
      <w:pPr>
        <w:spacing w:after="70"/>
      </w:pPr>
      <w:r>
        <w:rPr>
          <w:b/>
          <w:bCs/>
          <w:i w:val="false"/>
          <w:iCs w:val="false"/>
          <w:sz w:val="21"/>
          <w:szCs w:val="21"/>
        </w:rPr>
        <w:t xml:space="preserve">Essential — you can't do the job without these:</w:t>
      </w:r>
    </w:p>
    <w:p>
      <w:pPr>
        <w:pStyle w:val="ListParagraph"/>
        <w:numPr>
          <w:ilvl w:val="0"/>
          <w:numId w:val="2"/>
        </w:numPr>
        <w:spacing w:after="70"/>
      </w:pPr>
      <w:r>
        <w:rPr>
          <w:b/>
          <w:bCs/>
          <w:color w:val="0842EA"/>
          <w:sz w:val="21"/>
          <w:szCs w:val="21"/>
        </w:rPr>
        <w:t xml:space="preserve">[Essential skill, experience or qualification one]</w:t>
      </w:r>
    </w:p>
    <w:p>
      <w:pPr>
        <w:pStyle w:val="ListParagraph"/>
        <w:numPr>
          <w:ilvl w:val="0"/>
          <w:numId w:val="2"/>
        </w:numPr>
        <w:spacing w:after="70"/>
      </w:pPr>
      <w:r>
        <w:rPr>
          <w:b/>
          <w:bCs/>
          <w:color w:val="0842EA"/>
          <w:sz w:val="21"/>
          <w:szCs w:val="21"/>
        </w:rPr>
        <w:t xml:space="preserve">[Essential skill, experience or qualification two]</w:t>
      </w:r>
    </w:p>
    <w:p>
      <w:pPr>
        <w:pStyle w:val="ListParagraph"/>
        <w:numPr>
          <w:ilvl w:val="0"/>
          <w:numId w:val="2"/>
        </w:numPr>
        <w:spacing w:after="70"/>
      </w:pPr>
      <w:r>
        <w:rPr>
          <w:b/>
          <w:bCs/>
          <w:color w:val="0842EA"/>
          <w:sz w:val="21"/>
          <w:szCs w:val="21"/>
        </w:rPr>
        <w:t xml:space="preserve">[Essential skill, experience or qualification three]</w:t>
      </w:r>
    </w:p>
    <w:p>
      <w:pPr>
        <w:spacing w:after="70"/>
      </w:pPr>
      <w:r>
        <w:rPr>
          <w:b/>
          <w:bCs/>
          <w:i w:val="false"/>
          <w:iCs w:val="false"/>
          <w:sz w:val="21"/>
          <w:szCs w:val="21"/>
        </w:rPr>
        <w:t xml:space="preserve">Desirable — helpful, but trainable or substitutable:</w:t>
      </w:r>
    </w:p>
    <w:p>
      <w:pPr>
        <w:pStyle w:val="ListParagraph"/>
        <w:numPr>
          <w:ilvl w:val="0"/>
          <w:numId w:val="2"/>
        </w:numPr>
        <w:spacing w:after="70"/>
      </w:pPr>
      <w:r>
        <w:rPr>
          <w:b/>
          <w:bCs/>
          <w:color w:val="0842EA"/>
          <w:sz w:val="21"/>
          <w:szCs w:val="21"/>
        </w:rPr>
        <w:t xml:space="preserve">[Desirable skill, experience or qualification one]</w:t>
      </w:r>
    </w:p>
    <w:p>
      <w:pPr>
        <w:pStyle w:val="ListParagraph"/>
        <w:numPr>
          <w:ilvl w:val="0"/>
          <w:numId w:val="2"/>
        </w:numPr>
        <w:spacing w:after="70"/>
      </w:pPr>
      <w:r>
        <w:rPr>
          <w:b/>
          <w:bCs/>
          <w:color w:val="0842EA"/>
          <w:sz w:val="21"/>
          <w:szCs w:val="21"/>
        </w:rPr>
        <w:t xml:space="preserve">[Desirable skill, experience or qualification two]</w:t>
      </w:r>
    </w:p>
    <w:p>
      <w:pPr>
        <w:pStyle w:val="Heading1"/>
        <w:spacing w:after="100" w:before="220"/>
      </w:pPr>
      <w:r>
        <w:rPr>
          <w:b/>
          <w:bCs/>
          <w:color w:val="142442"/>
          <w:sz w:val="24"/>
          <w:szCs w:val="24"/>
        </w:rPr>
        <w:t xml:space="preserve">What we offer</w:t>
      </w:r>
    </w:p>
    <w:p>
      <w:pPr>
        <w:pStyle w:val="ListParagraph"/>
        <w:numPr>
          <w:ilvl w:val="0"/>
          <w:numId w:val="2"/>
        </w:numPr>
        <w:spacing w:after="70"/>
      </w:pPr>
      <w:r>
        <w:rPr>
          <w:b/>
          <w:bCs/>
          <w:color w:val="0842EA"/>
          <w:sz w:val="21"/>
          <w:szCs w:val="21"/>
        </w:rPr>
        <w:t xml:space="preserve">[Salary and any performance-related pay]</w:t>
      </w:r>
    </w:p>
    <w:p>
      <w:pPr>
        <w:pStyle w:val="ListParagraph"/>
        <w:numPr>
          <w:ilvl w:val="0"/>
          <w:numId w:val="2"/>
        </w:numPr>
        <w:spacing w:after="70"/>
      </w:pPr>
      <w:r>
        <w:rPr>
          <w:b/>
          <w:bCs/>
          <w:color w:val="0842EA"/>
          <w:sz w:val="21"/>
          <w:szCs w:val="21"/>
        </w:rPr>
        <w:t xml:space="preserve">[Holiday entitlement — at least the statutory 5.6 weeks including bank holidays]</w:t>
      </w:r>
    </w:p>
    <w:p>
      <w:pPr>
        <w:pStyle w:val="ListParagraph"/>
        <w:numPr>
          <w:ilvl w:val="0"/>
          <w:numId w:val="2"/>
        </w:numPr>
        <w:spacing w:after="70"/>
      </w:pPr>
      <w:r>
        <w:rPr>
          <w:b/>
          <w:bCs/>
          <w:color w:val="0842EA"/>
          <w:sz w:val="21"/>
          <w:szCs w:val="21"/>
        </w:rPr>
        <w:t xml:space="preserve">[Pension — workplace pension with automatic enrolment]</w:t>
      </w:r>
    </w:p>
    <w:p>
      <w:pPr>
        <w:pStyle w:val="ListParagraph"/>
        <w:numPr>
          <w:ilvl w:val="0"/>
          <w:numId w:val="2"/>
        </w:numPr>
        <w:spacing w:after="70"/>
      </w:pPr>
      <w:r>
        <w:rPr>
          <w:b/>
          <w:bCs/>
          <w:color w:val="0842EA"/>
          <w:sz w:val="21"/>
          <w:szCs w:val="21"/>
        </w:rPr>
        <w:t xml:space="preserve">[Other benefits — healthcare, flexible working, training budget, staff discount — or delete]</w:t>
      </w:r>
    </w:p>
    <w:p>
      <w:pPr>
        <w:pStyle w:val="Heading1"/>
        <w:spacing w:after="100" w:before="220"/>
      </w:pPr>
      <w:r>
        <w:rPr>
          <w:b/>
          <w:bCs/>
          <w:color w:val="142442"/>
          <w:sz w:val="24"/>
          <w:szCs w:val="24"/>
        </w:rPr>
        <w:t xml:space="preserve">Equal opportunities</w:t>
      </w:r>
    </w:p>
    <w:p>
      <w:pPr>
        <w:spacing w:after="120"/>
      </w:pPr>
      <w:r>
        <w:rPr>
          <w:b/>
          <w:bCs/>
          <w:color w:val="0842EA"/>
          <w:sz w:val="21"/>
          <w:szCs w:val="21"/>
        </w:rPr>
        <w:t xml:space="preserve">[Company Name]</w:t>
      </w:r>
      <w:r>
        <w:rPr>
          <w:b w:val="false"/>
          <w:bCs w:val="false"/>
          <w:i w:val="false"/>
          <w:iCs w:val="false"/>
          <w:sz w:val="21"/>
          <w:szCs w:val="21"/>
        </w:rPr>
        <w:t xml:space="preserve"> is an equal opportunities employer. We welcome applications from all suitably qualified candidates regardless of age, disability, gender reassignment, marriage or civil partnership, pregnancy or maternity, race, religion or belief, sex, or sexual orientation. If you need an adjustment at any stage of the recruitment process — to the application, the interview, or an assessment — tell us and we will make reasonable adjustments.</w:t>
      </w:r>
    </w:p>
    <w:p>
      <w:pPr>
        <w:pStyle w:val="Heading1"/>
        <w:spacing w:after="100" w:before="220"/>
      </w:pPr>
      <w:r>
        <w:rPr>
          <w:b/>
          <w:bCs/>
          <w:color w:val="142442"/>
          <w:sz w:val="24"/>
          <w:szCs w:val="24"/>
        </w:rPr>
        <w:t xml:space="preserve">Writing it safely — read before you publish, then delete this section</w:t>
      </w:r>
    </w:p>
    <w:p>
      <w:pPr>
        <w:pStyle w:val="ListParagraph"/>
        <w:numPr>
          <w:ilvl w:val="0"/>
          <w:numId w:val="2"/>
        </w:numPr>
        <w:spacing w:after="70"/>
      </w:pPr>
      <w:r>
        <w:rPr>
          <w:b w:val="false"/>
          <w:bCs w:val="false"/>
          <w:i w:val="false"/>
          <w:iCs w:val="false"/>
          <w:sz w:val="21"/>
          <w:szCs w:val="21"/>
        </w:rPr>
        <w:t xml:space="preserve">Every requirement must be genuinely necessary for the job. Criteria that aren't can indirectly discriminate and narrow your candidate pool — and they're the first thing challenged at tribunal.</w:t>
      </w:r>
    </w:p>
    <w:p>
      <w:pPr>
        <w:pStyle w:val="ListParagraph"/>
        <w:numPr>
          <w:ilvl w:val="0"/>
          <w:numId w:val="2"/>
        </w:numPr>
        <w:spacing w:after="70"/>
      </w:pPr>
      <w:r>
        <w:rPr>
          <w:b w:val="false"/>
          <w:bCs w:val="false"/>
          <w:i w:val="false"/>
          <w:iCs w:val="false"/>
          <w:sz w:val="21"/>
          <w:szCs w:val="21"/>
        </w:rPr>
        <w:t xml:space="preserve">Avoid age signals: “young”, “energetic”, “recent graduate”, “digital native”, or demanding “</w:t>
      </w:r>
      <w:r>
        <w:rPr>
          <w:b/>
          <w:bCs/>
          <w:color w:val="0842EA"/>
          <w:sz w:val="21"/>
          <w:szCs w:val="21"/>
        </w:rPr>
        <w:t xml:space="preserve">[X]</w:t>
      </w:r>
      <w:r>
        <w:rPr>
          <w:b w:val="false"/>
          <w:bCs w:val="false"/>
          <w:i w:val="false"/>
          <w:iCs w:val="false"/>
          <w:sz w:val="21"/>
          <w:szCs w:val="21"/>
        </w:rPr>
        <w:t xml:space="preserve">+ years' experience” when what you mean is a level of skill. Describe the experience, not the years.</w:t>
      </w:r>
    </w:p>
    <w:p>
      <w:pPr>
        <w:pStyle w:val="ListParagraph"/>
        <w:numPr>
          <w:ilvl w:val="0"/>
          <w:numId w:val="2"/>
        </w:numPr>
        <w:spacing w:after="70"/>
      </w:pPr>
      <w:r>
        <w:rPr>
          <w:b w:val="false"/>
          <w:bCs w:val="false"/>
          <w:i w:val="false"/>
          <w:iCs w:val="false"/>
          <w:sz w:val="21"/>
          <w:szCs w:val="21"/>
        </w:rPr>
        <w:t xml:space="preserve">Say “fluent English” if the role truly needs it — never “native” or “mother-tongue” English, which is a race discrimination risk.</w:t>
      </w:r>
    </w:p>
    <w:p>
      <w:pPr>
        <w:pStyle w:val="ListParagraph"/>
        <w:numPr>
          <w:ilvl w:val="0"/>
          <w:numId w:val="2"/>
        </w:numPr>
        <w:spacing w:after="70"/>
      </w:pPr>
      <w:r>
        <w:rPr>
          <w:b w:val="false"/>
          <w:bCs w:val="false"/>
          <w:i w:val="false"/>
          <w:iCs w:val="false"/>
          <w:sz w:val="21"/>
          <w:szCs w:val="21"/>
        </w:rPr>
        <w:t xml:space="preserve">Only require a driving licence, physical capability or specific hours pattern if the job genuinely cannot be done otherwise — each can disadvantage disabled candidates or those with caring responsibilities.</w:t>
      </w:r>
    </w:p>
    <w:p>
      <w:pPr>
        <w:pStyle w:val="ListParagraph"/>
        <w:numPr>
          <w:ilvl w:val="0"/>
          <w:numId w:val="2"/>
        </w:numPr>
        <w:spacing w:after="70"/>
      </w:pPr>
      <w:r>
        <w:rPr>
          <w:b w:val="false"/>
          <w:bCs w:val="false"/>
          <w:i w:val="false"/>
          <w:iCs w:val="false"/>
          <w:sz w:val="21"/>
          <w:szCs w:val="21"/>
        </w:rPr>
        <w:t xml:space="preserve">Mention a DBS check only if the role is actually eligible for one. Most roles are not.</w:t>
      </w:r>
    </w:p>
    <w:p>
      <w:pPr>
        <w:pStyle w:val="ListParagraph"/>
        <w:numPr>
          <w:ilvl w:val="0"/>
          <w:numId w:val="2"/>
        </w:numPr>
        <w:spacing w:after="70"/>
      </w:pPr>
      <w:r>
        <w:rPr>
          <w:b w:val="false"/>
          <w:bCs w:val="false"/>
          <w:i w:val="false"/>
          <w:iCs w:val="false"/>
          <w:sz w:val="21"/>
          <w:szCs w:val="21"/>
        </w:rPr>
        <w:t xml:space="preserve">Gendered job titles date the ad and skew who applies — “salesperson” not “salesman”. Free tools can scan your ad for coded language.</w:t>
      </w:r>
    </w:p>
    <w:p>
      <w:pPr>
        <w:pStyle w:val="ListParagraph"/>
        <w:numPr>
          <w:ilvl w:val="0"/>
          <w:numId w:val="2"/>
        </w:numPr>
        <w:spacing w:after="70"/>
      </w:pPr>
      <w:r>
        <w:rPr>
          <w:b w:val="false"/>
          <w:bCs w:val="false"/>
          <w:i w:val="false"/>
          <w:iCs w:val="false"/>
          <w:sz w:val="21"/>
          <w:szCs w:val="21"/>
        </w:rPr>
        <w:t xml:space="preserve">Advertising the salary range attracts more and better applicants — and “competitive salary” attracts fewer of everyone.</w:t>
      </w:r>
    </w:p>
    <w:p>
      <w:pPr>
        <w:spacing w:before="160"/>
      </w:pPr>
      <w:r>
        <w:rPr>
          <w:i/>
          <w:iCs/>
          <w:color w:val="5B6270"/>
          <w:sz w:val="17"/>
          <w:szCs w:val="17"/>
        </w:rPr>
        <w:t xml:space="preserve">Written for employers in England, Wales and Scotland. Correct as at September 2026. This is a generic template, not legal advice — adapt it to your company and take advice where a role raises specific questions. MadyHR.ai accepts no liability for how it is used.</w:t>
      </w:r>
    </w:p>
    <w:sectPr>
      <w:pgSz w:w="11906" w:h="16838" w:orient="portrait"/>
      <w:pgMar w:top="95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b601761da53f588f52592364984311da66bc8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2026-09-11T01:12:32.614Z</dcterms:created>
  <dcterms:modified xsi:type="dcterms:W3CDTF">2026-09-11T01:12:32.624Z</dcterms:modified>
</cp:coreProperties>
</file>

<file path=docProps/custom.xml><?xml version="1.0" encoding="utf-8"?>
<Properties xmlns="http://schemas.openxmlformats.org/officeDocument/2006/custom-properties" xmlns:vt="http://schemas.openxmlformats.org/officeDocument/2006/docPropsVTypes"/>
</file>