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pPr>
      <w:r>
        <w:rPr>
          <w:b/>
          <w:bCs/>
          <w:color w:val="1F4E5F"/>
          <w:sz w:val="44"/>
          <w:szCs w:val="44"/>
        </w:rPr>
        <w:t xml:space="preserve">Right to Work Check Checklist</w:t>
      </w:r>
    </w:p>
    <w:p>
      <w:pPr>
        <w:pBdr>
          <w:bottom w:val="single" w:color="CCCCCC" w:sz="6" w:space="8"/>
        </w:pBdr>
        <w:spacing w:after="300"/>
      </w:pPr>
      <w:r>
        <w:rPr>
          <w:i/>
          <w:iCs/>
          <w:color w:val="555555"/>
          <w:sz w:val="20"/>
          <w:szCs w:val="20"/>
        </w:rPr>
        <w:t xml:space="preserve">A practical step-by-step reference for UK employers</w:t>
      </w:r>
    </w:p>
    <w:p>
      <w:pPr>
        <w:spacing w:after="120"/>
      </w:pPr>
      <w:r>
        <w:rPr>
          <w:sz w:val="21"/>
          <w:szCs w:val="21"/>
        </w:rPr>
        <w:t xml:space="preserve">Use this checklist every time you carry out a right to work check on a new starter, before they begin work. It reflects the process set out in the Home Office's “Right to work checks: an employer's guide.” It is a process guide, not legal advice — see the note at the end.</w:t>
      </w:r>
    </w:p>
    <w:p>
      <w:pPr>
        <w:pStyle w:val="Heading1"/>
        <w:spacing w:after="120" w:before="280"/>
      </w:pPr>
      <w:r>
        <w:rPr>
          <w:b/>
          <w:bCs/>
          <w:color w:val="1F4E5F"/>
          <w:sz w:val="26"/>
          <w:szCs w:val="26"/>
        </w:rPr>
        <w:t xml:space="preserve">1. Before you check</w:t>
      </w:r>
    </w:p>
    <w:p>
      <w:pPr>
        <w:pStyle w:val="ListParagraph"/>
        <w:numPr>
          <w:ilvl w:val="0"/>
          <w:numId w:val="2"/>
        </w:numPr>
        <w:spacing w:after="90"/>
      </w:pPr>
      <w:r>
        <w:rPr>
          <w:sz w:val="21"/>
          <w:szCs w:val="21"/>
        </w:rPr>
        <w:t xml:space="preserve">Confirm the check will be completed before the person's first day of employment — a right to work check must never be done retrospectively.</w:t>
      </w:r>
    </w:p>
    <w:p>
      <w:pPr>
        <w:pStyle w:val="ListParagraph"/>
        <w:numPr>
          <w:ilvl w:val="0"/>
          <w:numId w:val="2"/>
        </w:numPr>
        <w:spacing w:after="90"/>
      </w:pPr>
      <w:r>
        <w:rPr>
          <w:sz w:val="21"/>
          <w:szCs w:val="21"/>
        </w:rPr>
        <w:t xml:space="preserve">Work out which check method applies: a manual document check, a Home Office online check (using the individual's share code), or an Identity Document Validation Technology (IDVT) check via a Home Office–certified Identity Service Provider (available for eligible British and Irish citizens with a valid passport).</w:t>
      </w:r>
    </w:p>
    <w:p>
      <w:pPr>
        <w:pStyle w:val="Heading1"/>
        <w:spacing w:after="120" w:before="280"/>
      </w:pPr>
      <w:r>
        <w:rPr>
          <w:b/>
          <w:bCs/>
          <w:color w:val="1F4E5F"/>
          <w:sz w:val="26"/>
          <w:szCs w:val="26"/>
        </w:rPr>
        <w:t xml:space="preserve">2. Carrying out the check</w:t>
      </w:r>
    </w:p>
    <w:p>
      <w:pPr>
        <w:pStyle w:val="ListParagraph"/>
        <w:numPr>
          <w:ilvl w:val="0"/>
          <w:numId w:val="3"/>
        </w:numPr>
        <w:spacing w:after="90"/>
      </w:pPr>
      <w:r>
        <w:rPr>
          <w:sz w:val="21"/>
          <w:szCs w:val="21"/>
        </w:rPr>
        <w:t xml:space="preserve">Ask the individual which check method applies to them and request the relevant document(s) or online share code.</w:t>
      </w:r>
    </w:p>
    <w:p>
      <w:pPr>
        <w:pStyle w:val="ListParagraph"/>
        <w:numPr>
          <w:ilvl w:val="0"/>
          <w:numId w:val="3"/>
        </w:numPr>
        <w:spacing w:after="90"/>
      </w:pPr>
      <w:r>
        <w:rPr>
          <w:sz w:val="21"/>
          <w:szCs w:val="21"/>
        </w:rPr>
        <w:t xml:space="preserve">If checking a document in person, do so with the individual physically present (or via live video link for a remote check, where current guidance permits it).</w:t>
      </w:r>
    </w:p>
    <w:p>
      <w:pPr>
        <w:pStyle w:val="ListParagraph"/>
        <w:numPr>
          <w:ilvl w:val="0"/>
          <w:numId w:val="3"/>
        </w:numPr>
        <w:spacing w:after="90"/>
      </w:pPr>
      <w:r>
        <w:rPr>
          <w:sz w:val="21"/>
          <w:szCs w:val="21"/>
        </w:rPr>
        <w:t xml:space="preserve">Check the document is genuine, unaltered, and belongs to the person presenting it.</w:t>
      </w:r>
    </w:p>
    <w:p>
      <w:pPr>
        <w:pStyle w:val="ListParagraph"/>
        <w:numPr>
          <w:ilvl w:val="0"/>
          <w:numId w:val="3"/>
        </w:numPr>
        <w:spacing w:after="90"/>
      </w:pPr>
      <w:r>
        <w:rPr>
          <w:sz w:val="21"/>
          <w:szCs w:val="21"/>
        </w:rPr>
        <w:t xml:space="preserve">Check the photograph matches the person's appearance.</w:t>
      </w:r>
    </w:p>
    <w:p>
      <w:pPr>
        <w:pStyle w:val="ListParagraph"/>
        <w:numPr>
          <w:ilvl w:val="0"/>
          <w:numId w:val="3"/>
        </w:numPr>
        <w:spacing w:after="90"/>
      </w:pPr>
      <w:r>
        <w:rPr>
          <w:sz w:val="21"/>
          <w:szCs w:val="21"/>
        </w:rPr>
        <w:t xml:space="preserve">Check dates of birth are consistent across all documents provided.</w:t>
      </w:r>
    </w:p>
    <w:p>
      <w:pPr>
        <w:pStyle w:val="ListParagraph"/>
        <w:numPr>
          <w:ilvl w:val="0"/>
          <w:numId w:val="3"/>
        </w:numPr>
        <w:spacing w:after="90"/>
      </w:pPr>
      <w:r>
        <w:rPr>
          <w:sz w:val="21"/>
          <w:szCs w:val="21"/>
        </w:rPr>
        <w:t xml:space="preserve">Check the expiry date, and whether any conditions restrict the type of work or number of hours the person may do (for example, some student visas limit working hours during term time).</w:t>
      </w:r>
    </w:p>
    <w:p>
      <w:pPr>
        <w:pStyle w:val="ListParagraph"/>
        <w:numPr>
          <w:ilvl w:val="0"/>
          <w:numId w:val="3"/>
        </w:numPr>
        <w:spacing w:after="90"/>
      </w:pPr>
      <w:r>
        <w:rPr>
          <w:sz w:val="21"/>
          <w:szCs w:val="21"/>
        </w:rPr>
        <w:t xml:space="preserve">For an online or IDVT check, follow the Home Office service's on-screen steps and record the outcome it gives you.</w:t>
      </w:r>
    </w:p>
    <w:p>
      <w:pPr>
        <w:pStyle w:val="Heading1"/>
        <w:spacing w:after="120" w:before="280"/>
      </w:pPr>
      <w:r>
        <w:rPr>
          <w:b/>
          <w:bCs/>
          <w:color w:val="1F4E5F"/>
          <w:sz w:val="26"/>
          <w:szCs w:val="26"/>
        </w:rPr>
        <w:t xml:space="preserve">3. Recording the check</w:t>
      </w:r>
    </w:p>
    <w:p>
      <w:pPr>
        <w:pStyle w:val="ListParagraph"/>
        <w:numPr>
          <w:ilvl w:val="0"/>
          <w:numId w:val="2"/>
        </w:numPr>
        <w:spacing w:after="90"/>
      </w:pPr>
      <w:r>
        <w:rPr>
          <w:sz w:val="21"/>
          <w:szCs w:val="21"/>
        </w:rPr>
        <w:t xml:space="preserve">Make and retain a clear copy of the document(s) checked (or the online check confirmation) — front and back where relevant, and any page showing an expiry date or biometric details.</w:t>
      </w:r>
    </w:p>
    <w:p>
      <w:pPr>
        <w:pStyle w:val="ListParagraph"/>
        <w:numPr>
          <w:ilvl w:val="0"/>
          <w:numId w:val="2"/>
        </w:numPr>
        <w:spacing w:after="90"/>
      </w:pPr>
      <w:r>
        <w:rPr>
          <w:sz w:val="21"/>
          <w:szCs w:val="21"/>
        </w:rPr>
        <w:t xml:space="preserve">Record the date the check was carried out.</w:t>
      </w:r>
    </w:p>
    <w:p>
      <w:pPr>
        <w:pStyle w:val="ListParagraph"/>
        <w:numPr>
          <w:ilvl w:val="0"/>
          <w:numId w:val="2"/>
        </w:numPr>
        <w:spacing w:after="90"/>
      </w:pPr>
      <w:r>
        <w:rPr>
          <w:sz w:val="21"/>
          <w:szCs w:val="21"/>
        </w:rPr>
        <w:t xml:space="preserve">Note whether the document falls under List A (established right to work, no follow-up check needed) or List B (time-limited permission — a follow-up check will be required).</w:t>
      </w:r>
    </w:p>
    <w:p>
      <w:pPr>
        <w:pStyle w:val="ListParagraph"/>
        <w:numPr>
          <w:ilvl w:val="0"/>
          <w:numId w:val="2"/>
        </w:numPr>
        <w:spacing w:after="90"/>
      </w:pPr>
      <w:r>
        <w:rPr>
          <w:sz w:val="21"/>
          <w:szCs w:val="21"/>
        </w:rPr>
        <w:t xml:space="preserve">If List B, diarise a follow-up check well before the permission expires, so there is no gap in the employee's right to work.</w:t>
      </w:r>
    </w:p>
    <w:p>
      <w:pPr>
        <w:pStyle w:val="Heading1"/>
        <w:spacing w:after="120" w:before="280"/>
      </w:pPr>
      <w:r>
        <w:rPr>
          <w:b/>
          <w:bCs/>
          <w:color w:val="1F4E5F"/>
          <w:sz w:val="26"/>
          <w:szCs w:val="26"/>
        </w:rPr>
        <w:t xml:space="preserve">4. Keeping records</w:t>
      </w:r>
    </w:p>
    <w:p>
      <w:pPr>
        <w:spacing w:after="120"/>
      </w:pPr>
      <w:r>
        <w:rPr>
          <w:sz w:val="21"/>
          <w:szCs w:val="21"/>
        </w:rPr>
        <w:t xml:space="preserve">Under current Home Office guidance, employers should retain right to work check records for the duration of the person's employment and for a further period after it ends. Confirm the current required retention period at gov.uk before relying on a specific figure, as this guidance is periodically updated.</w:t>
      </w:r>
    </w:p>
    <w:p>
      <w:pPr>
        <w:pBdr>
          <w:top w:val="single" w:color="1F4E5F" w:sz="4" w:space="8"/>
          <w:bottom w:val="single" w:color="1F4E5F" w:sz="4" w:space="8"/>
          <w:left w:val="single" w:color="1F4E5F" w:sz="4" w:space="8"/>
          <w:right w:val="single" w:color="1F4E5F" w:sz="4" w:space="8"/>
        </w:pBdr>
        <w:shd w:fill="F2F6F7" w:color="auto" w:val="clear"/>
        <w:spacing w:after="120" w:before="260"/>
      </w:pPr>
      <w:r>
        <w:rPr>
          <w:i/>
          <w:iCs/>
          <w:color w:val="333333"/>
          <w:sz w:val="19"/>
          <w:szCs w:val="19"/>
        </w:rPr>
        <w:t xml:space="preserve">This checklist is a practical process aid, not legal advice, and does not replace the official guidance.</w:t>
      </w:r>
      <w:r>
        <w:rPr>
          <w:i/>
          <w:iCs/>
          <w:color w:val="333333"/>
          <w:sz w:val="19"/>
          <w:szCs w:val="19"/>
        </w:rPr>
        <w:br/>
        <w:t xml:space="preserve">The list of documents accepted as evidence of right to work (List A and List B) changes periodically — always check the current “Right to work checks: an employer's guide” at gov.uk before making a decision on a specific document.</w:t>
      </w:r>
      <w:r>
        <w:rPr>
          <w:i/>
          <w:iCs/>
          <w:color w:val="333333"/>
          <w:sz w:val="19"/>
          <w:szCs w:val="19"/>
        </w:rPr>
        <w:br/>
        <w:t xml:space="preserve">If you use MadyHR.ai, right to work checks recorded against an employee's profile are tracked automatically, with follow-up reminders raised as List B permissions approach expiry — see your Compliance dashboard.</w:t>
      </w:r>
    </w:p>
    <w:p>
      <w:pPr>
        <w:pBdr>
          <w:top w:val="single" w:color="DDDDDD" w:sz="4" w:space="8"/>
        </w:pBdr>
        <w:spacing w:before="400"/>
      </w:pPr>
      <w:r>
        <w:rPr>
          <w:i/>
          <w:iCs/>
          <w:color w:val="888888"/>
          <w:sz w:val="16"/>
          <w:szCs w:val="16"/>
        </w:rPr>
        <w:t xml:space="preserve">Free template provided by MadyHR.ai — UK HR software for small and medium businesses.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04" w:hanging="360"/>
      </w:pPr>
    </w:lvl>
  </w:abstractNum>
  <w:abstractNum w:abstractNumId="3" w15:restartNumberingAfterBreak="0">
    <w:multiLevelType w:val="hybridMultilevel"/>
    <w:lvl w:ilvl="0" w15:tentative="1">
      <w:start w:val="1"/>
      <w:numFmt w:val="bullet"/>
      <w:lvlText w:val="☐"/>
      <w:lvlJc w:val="left"/>
      <w:pPr>
        <w:ind w:left="504" w:hanging="360"/>
      </w:pPr>
    </w:lvl>
  </w:abstractNum>
  <w:abstractNum w:abstractNumId="4" w15:restartNumberingAfterBreak="0">
    <w:multiLevelType w:val="hybridMultilevel"/>
    <w:lvl w:ilvl="0" w15:tentative="1">
      <w:start w:val="1"/>
      <w:numFmt w:val="bullet"/>
      <w:lvlText w:val="•"/>
      <w:lvlJc w:val="left"/>
      <w:pPr>
        <w:ind w:left="504"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2026-08-30T00:57:48.529Z</dcterms:created>
  <dcterms:modified xsi:type="dcterms:W3CDTF">2026-08-30T00:57:48.537Z</dcterms:modified>
</cp:coreProperties>
</file>

<file path=docProps/custom.xml><?xml version="1.0" encoding="utf-8"?>
<Properties xmlns="http://schemas.openxmlformats.org/officeDocument/2006/custom-properties" xmlns:vt="http://schemas.openxmlformats.org/officeDocument/2006/docPropsVTypes"/>
</file>