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Attendance and Punctuality Policy</w:t>
      </w:r>
    </w:p>
    <w:p>
      <w:pPr>
        <w:spacing w:after="120"/>
      </w:pPr>
      <w:r>
        <w:rPr>
          <w:rFonts w:ascii="Calibri" w:cs="Calibri" w:eastAsia="Calibri" w:hAnsi="Calibri"/>
        </w:rPr>
        <w:t xml:space="preserve">Reliable attendance helps us serve customers and support each other. This policy explains what we expect and how to tell us when you cannot be at work on time.</w:t>
      </w:r>
    </w:p>
    <w:p>
      <w:pPr>
        <w:pStyle w:val="Heading2"/>
      </w:pPr>
      <w:r>
        <w:rPr>
          <w:rFonts w:ascii="Calibri" w:cs="Calibri" w:eastAsia="Calibri" w:hAnsi="Calibri"/>
        </w:rPr>
        <w:t xml:space="preserve">Reporting an absence or lateness</w:t>
      </w:r>
    </w:p>
    <w:p>
      <w:pPr>
        <w:pStyle w:val="ListParagraph"/>
        <w:numPr>
          <w:ilvl w:val="0"/>
          <w:numId w:val="2"/>
        </w:numPr>
        <w:spacing w:after="60"/>
      </w:pPr>
      <w:r>
        <w:rPr>
          <w:rFonts w:ascii="Calibri" w:cs="Calibri" w:eastAsia="Calibri" w:hAnsi="Calibri"/>
        </w:rPr>
        <w:t xml:space="preserve">Contact </w:t>
      </w:r>
      <w:r>
        <w:rPr>
          <w:rFonts w:ascii="Calibri" w:cs="Calibri" w:eastAsia="Calibri" w:hAnsi="Calibri"/>
          <w:highlight w:val="yellow"/>
        </w:rPr>
        <w:t xml:space="preserve">[Manager Name or Title]</w:t>
      </w:r>
      <w:r>
        <w:rPr>
          <w:rFonts w:ascii="Calibri" w:cs="Calibri" w:eastAsia="Calibri" w:hAnsi="Calibri"/>
        </w:rPr>
        <w:t xml:space="preserve"> by </w:t>
      </w:r>
      <w:r>
        <w:rPr>
          <w:rFonts w:ascii="Calibri" w:cs="Calibri" w:eastAsia="Calibri" w:hAnsi="Calibri"/>
          <w:highlight w:val="yellow"/>
        </w:rPr>
        <w:t xml:space="preserve">[phone / text / app]</w:t>
      </w:r>
      <w:r>
        <w:rPr>
          <w:rFonts w:ascii="Calibri" w:cs="Calibri" w:eastAsia="Calibri" w:hAnsi="Calibri"/>
        </w:rPr>
        <w:t xml:space="preserve"> at least </w:t>
      </w:r>
      <w:r>
        <w:rPr>
          <w:rFonts w:ascii="Calibri" w:cs="Calibri" w:eastAsia="Calibri" w:hAnsi="Calibri"/>
          <w:highlight w:val="yellow"/>
        </w:rPr>
        <w:t xml:space="preserve">[Number]</w:t>
      </w:r>
      <w:r>
        <w:rPr>
          <w:rFonts w:ascii="Calibri" w:cs="Calibri" w:eastAsia="Calibri" w:hAnsi="Calibri"/>
        </w:rPr>
        <w:t xml:space="preserve"> hour(s) before your shift starts, or as soon as you can in an emergency.</w:t>
      </w:r>
    </w:p>
    <w:p>
      <w:pPr>
        <w:pStyle w:val="ListParagraph"/>
        <w:numPr>
          <w:ilvl w:val="0"/>
          <w:numId w:val="2"/>
        </w:numPr>
        <w:spacing w:after="60"/>
      </w:pPr>
      <w:r>
        <w:rPr>
          <w:rFonts w:ascii="Calibri" w:cs="Calibri" w:eastAsia="Calibri" w:hAnsi="Calibri"/>
        </w:rPr>
        <w:t xml:space="preserve">Say when you expect to return.</w:t>
      </w:r>
    </w:p>
    <w:p>
      <w:pPr>
        <w:pStyle w:val="ListParagraph"/>
        <w:numPr>
          <w:ilvl w:val="0"/>
          <w:numId w:val="2"/>
        </w:numPr>
        <w:spacing w:after="60"/>
      </w:pPr>
      <w:r>
        <w:rPr>
          <w:rFonts w:ascii="Calibri" w:cs="Calibri" w:eastAsia="Calibri" w:hAnsi="Calibri"/>
        </w:rPr>
        <w:t xml:space="preserve">A message to a co-worker is not enough.</w:t>
      </w:r>
    </w:p>
    <w:p>
      <w:pPr>
        <w:pStyle w:val="Heading2"/>
      </w:pPr>
      <w:r>
        <w:rPr>
          <w:rFonts w:ascii="Calibri" w:cs="Calibri" w:eastAsia="Calibri" w:hAnsi="Calibri"/>
        </w:rPr>
        <w:t xml:space="preserve">No-call/no-show</w:t>
      </w:r>
    </w:p>
    <w:p>
      <w:pPr>
        <w:spacing w:after="120"/>
      </w:pPr>
      <w:r>
        <w:rPr>
          <w:rFonts w:ascii="Calibri" w:cs="Calibri" w:eastAsia="Calibri" w:hAnsi="Calibri"/>
        </w:rPr>
        <w:t xml:space="preserve">Missing a scheduled shift without telling your manager is a serious matter. </w:t>
      </w:r>
      <w:r>
        <w:rPr>
          <w:rFonts w:ascii="Calibri" w:cs="Calibri" w:eastAsia="Calibri" w:hAnsi="Calibri"/>
          <w:highlight w:val="yellow"/>
        </w:rPr>
        <w:t xml:space="preserve">[Number]</w:t>
      </w:r>
      <w:r>
        <w:rPr>
          <w:rFonts w:ascii="Calibri" w:cs="Calibri" w:eastAsia="Calibri" w:hAnsi="Calibri"/>
        </w:rPr>
        <w:t xml:space="preserve"> consecutive no-call/no-shows may be treated as a voluntary resignation, unless there was an emergency that prevented you from contacting us.</w:t>
      </w:r>
    </w:p>
    <w:p>
      <w:pPr>
        <w:pStyle w:val="Heading2"/>
      </w:pPr>
      <w:r>
        <w:rPr>
          <w:rFonts w:ascii="Calibri" w:cs="Calibri" w:eastAsia="Calibri" w:hAnsi="Calibri"/>
        </w:rPr>
        <w:t xml:space="preserve">Repeated attendance problems</w:t>
      </w:r>
    </w:p>
    <w:p>
      <w:pPr>
        <w:spacing w:after="120"/>
      </w:pPr>
      <w:r>
        <w:rPr>
          <w:rFonts w:ascii="Calibri" w:cs="Calibri" w:eastAsia="Calibri" w:hAnsi="Calibri"/>
        </w:rPr>
        <w:t xml:space="preserve">Repeated unexcused absences or lateness may lead to discipline, usually starting with a conversation and a verbal warning, then a written warning, and up to and including termination.</w:t>
      </w:r>
    </w:p>
    <w:p>
      <w:pPr>
        <w:pStyle w:val="Heading2"/>
      </w:pPr>
      <w:r>
        <w:rPr>
          <w:rFonts w:ascii="Calibri" w:cs="Calibri" w:eastAsia="Calibri" w:hAnsi="Calibri"/>
        </w:rPr>
        <w:t xml:space="preserve">Protected absences</w:t>
      </w:r>
    </w:p>
    <w:p>
      <w:pPr>
        <w:spacing w:after="120"/>
      </w:pPr>
      <w:r>
        <w:rPr>
          <w:rFonts w:ascii="Calibri" w:cs="Calibri" w:eastAsia="Calibri" w:hAnsi="Calibri"/>
        </w:rPr>
        <w:t xml:space="preserve">The following are never counted against you under this policy: leave protected by the Family and Medical Leave Act, paid sick leave under state or local law, military leave, jury duty, leave approved as a reasonable accommodation, and any other leave protected by law.</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mw7dn_lwrcjrr3stvo9oc">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tkqltugbekqzh38sn2qu1">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p>
      <w:pPr>
        <w:pStyle w:val="ListParagraph"/>
        <w:numPr>
          <w:ilvl w:val="0"/>
          <w:numId w:val="2"/>
        </w:numPr>
        <w:spacing w:after="60"/>
      </w:pPr>
      <w:hyperlink w:history="1" r:id="rId6uoay6vdf-leczi5sler4">
        <w:r>
          <w:rPr>
            <w:rStyle w:val="Hyperlink"/>
            <w:rFonts w:ascii="Calibri" w:cs="Calibri" w:eastAsia="Calibri" w:hAnsi="Calibri"/>
            <w:sz w:val="20"/>
            <w:szCs w:val="20"/>
          </w:rPr>
          <w:t xml:space="preserve">U.S. Department of Labor – Sick leave</w:t>
        </w:r>
      </w:hyperlink>
      <w:r>
        <w:rPr>
          <w:rFonts w:ascii="Calibri" w:cs="Calibri" w:eastAsia="Calibri" w:hAnsi="Calibri"/>
          <w:color w:val="5B6475"/>
          <w:sz w:val="18"/>
          <w:szCs w:val="18"/>
        </w:rPr>
        <w:t xml:space="preserve"> — https://www.dol.gov/general/topic/workhours/sickleave</w:t>
      </w:r>
    </w:p>
    <w:p>
      <w:pPr>
        <w:pStyle w:val="ListParagraph"/>
        <w:numPr>
          <w:ilvl w:val="0"/>
          <w:numId w:val="2"/>
        </w:numPr>
        <w:spacing w:after="60"/>
      </w:pPr>
      <w:hyperlink w:history="1" r:id="rIdvxcnnxjdpmz00mrkwbtk4">
        <w:r>
          <w:rPr>
            <w:rStyle w:val="Hyperlink"/>
            <w:rFonts w:ascii="Calibri" w:cs="Calibri" w:eastAsia="Calibri" w:hAnsi="Calibri"/>
            <w:sz w:val="20"/>
            <w:szCs w:val="20"/>
          </w:rPr>
          <w:t xml:space="preserve">U.S. Department of Labor – USERRA (military service and employment)</w:t>
        </w:r>
      </w:hyperlink>
      <w:r>
        <w:rPr>
          <w:rFonts w:ascii="Calibri" w:cs="Calibri" w:eastAsia="Calibri" w:hAnsi="Calibri"/>
          <w:color w:val="5B6475"/>
          <w:sz w:val="18"/>
          <w:szCs w:val="18"/>
        </w:rPr>
        <w:t xml:space="preserve"> — https://www.dol.gov/agencies/vets/programs/userra</w:t>
      </w:r>
    </w:p>
    <w:p>
      <w:pPr>
        <w:pStyle w:val="ListParagraph"/>
        <w:numPr>
          <w:ilvl w:val="0"/>
          <w:numId w:val="2"/>
        </w:numPr>
        <w:spacing w:after="60"/>
      </w:pPr>
      <w:hyperlink w:history="1" r:id="rIdgat3vb0yjdqme1yxkdb0m">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p>
      <w:pPr>
        <w:pStyle w:val="ListParagraph"/>
        <w:numPr>
          <w:ilvl w:val="0"/>
          <w:numId w:val="2"/>
        </w:numPr>
        <w:spacing w:after="60"/>
      </w:pPr>
      <w:hyperlink w:history="1" r:id="rIdi8njpybxpsprejqdxuxzh">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w7dn_lwrcjrr3stvo9oc" Type="http://schemas.openxmlformats.org/officeDocument/2006/relationships/hyperlink" Target="https://www.dol.gov/agencies/whd/state/contacts" TargetMode="External"/><Relationship Id="rIdtkqltugbekqzh38sn2qu1" Type="http://schemas.openxmlformats.org/officeDocument/2006/relationships/hyperlink" Target="https://www.dol.gov/agencies/whd/fmla" TargetMode="External"/><Relationship Id="rId6uoay6vdf-leczi5sler4" Type="http://schemas.openxmlformats.org/officeDocument/2006/relationships/hyperlink" Target="https://www.dol.gov/general/topic/workhours/sickleave" TargetMode="External"/><Relationship Id="rIdvxcnnxjdpmz00mrkwbtk4" Type="http://schemas.openxmlformats.org/officeDocument/2006/relationships/hyperlink" Target="https://www.dol.gov/agencies/vets/programs/userra" TargetMode="External"/><Relationship Id="rIdgat3vb0yjdqme1yxkdb0m" Type="http://schemas.openxmlformats.org/officeDocument/2006/relationships/hyperlink" Target="https://www.eeoc.gov/laws/guidance/enforcement-guidance-reasonable-accommodation-and-undue-hardship-under-ada" TargetMode="External"/><Relationship Id="rIdi8njpybxpsprejqdxuxzh" Type="http://schemas.openxmlformats.org/officeDocument/2006/relationships/hyperlink" Target="https://www.dol.gov/agencies/whd/fact-sheets/22-flsa-hours-worked"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and Punctuality Policy Template</dc:title>
  <dc:creator>MadyHR.ai</dc:creator>
  <dc:description>Free attendance and punctuality policy template for US employers. Call-in rules, lateness and no-call/no-show, with protected leave carved out. Word download.</dc:description>
  <cp:lastModifiedBy>Un-named</cp:lastModifiedBy>
  <cp:revision>1</cp:revision>
  <dcterms:created xsi:type="dcterms:W3CDTF">2026-10-14T05:25:26.656Z</dcterms:created>
  <dcterms:modified xsi:type="dcterms:W3CDTF">2026-10-14T05:25:26.656Z</dcterms:modified>
</cp:coreProperties>
</file>

<file path=docProps/custom.xml><?xml version="1.0" encoding="utf-8"?>
<Properties xmlns="http://schemas.openxmlformats.org/officeDocument/2006/custom-properties" xmlns:vt="http://schemas.openxmlformats.org/officeDocument/2006/docPropsVTypes"/>
</file>