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Remote and Hybrid Work Policy</w:t>
      </w:r>
    </w:p>
    <w:p>
      <w:pPr>
        <w:pStyle w:val="Heading2"/>
      </w:pPr>
      <w:r>
        <w:rPr>
          <w:rFonts w:ascii="Calibri" w:cs="Calibri" w:eastAsia="Calibri" w:hAnsi="Calibri"/>
        </w:rPr>
        <w:t xml:space="preserve">Eligibility</w:t>
      </w:r>
    </w:p>
    <w:p>
      <w:pPr>
        <w:spacing w:after="120"/>
      </w:pPr>
      <w:r>
        <w:rPr>
          <w:rFonts w:ascii="Calibri" w:cs="Calibri" w:eastAsia="Calibri" w:hAnsi="Calibri"/>
        </w:rPr>
        <w:t xml:space="preserve">Remote or hybrid work is available for roles that </w:t>
      </w:r>
      <w:r>
        <w:rPr>
          <w:rFonts w:ascii="Calibri" w:cs="Calibri" w:eastAsia="Calibri" w:hAnsi="Calibri"/>
          <w:highlight w:val="yellow"/>
        </w:rPr>
        <w:t xml:space="preserve">[describe eligible roles]</w:t>
      </w:r>
      <w:r>
        <w:rPr>
          <w:rFonts w:ascii="Calibri" w:cs="Calibri" w:eastAsia="Calibri" w:hAnsi="Calibri"/>
        </w:rPr>
        <w:t xml:space="preserve">, with approval from </w:t>
      </w:r>
      <w:r>
        <w:rPr>
          <w:rFonts w:ascii="Calibri" w:cs="Calibri" w:eastAsia="Calibri" w:hAnsi="Calibri"/>
          <w:highlight w:val="yellow"/>
        </w:rPr>
        <w:t xml:space="preserve">[Manager Name or Title]</w:t>
      </w:r>
      <w:r>
        <w:rPr>
          <w:rFonts w:ascii="Calibri" w:cs="Calibri" w:eastAsia="Calibri" w:hAnsi="Calibri"/>
        </w:rPr>
        <w:t xml:space="preserve">. Remote work is a business arrangement that may be changed or ended by </w:t>
      </w:r>
      <w:r>
        <w:rPr>
          <w:rFonts w:ascii="Calibri" w:cs="Calibri" w:eastAsia="Calibri" w:hAnsi="Calibri"/>
          <w:highlight w:val="yellow"/>
        </w:rPr>
        <w:t xml:space="preserve">[Company Name]</w:t>
      </w:r>
      <w:r>
        <w:rPr>
          <w:rFonts w:ascii="Calibri" w:cs="Calibri" w:eastAsia="Calibri" w:hAnsi="Calibri"/>
        </w:rPr>
        <w:t xml:space="preserve">.</w:t>
      </w:r>
    </w:p>
    <w:p>
      <w:pPr>
        <w:pStyle w:val="Heading2"/>
      </w:pPr>
      <w:r>
        <w:rPr>
          <w:rFonts w:ascii="Calibri" w:cs="Calibri" w:eastAsia="Calibri" w:hAnsi="Calibri"/>
        </w:rPr>
        <w:t xml:space="preserve">Work location</w:t>
      </w:r>
    </w:p>
    <w:p>
      <w:pPr>
        <w:spacing w:after="120"/>
      </w:pPr>
      <w:r>
        <w:rPr>
          <w:rFonts w:ascii="Calibri" w:cs="Calibri" w:eastAsia="Calibri" w:hAnsi="Calibri"/>
        </w:rPr>
        <w:t xml:space="preserve">You must work from the location on file with </w:t>
      </w:r>
      <w:r>
        <w:rPr>
          <w:rFonts w:ascii="Calibri" w:cs="Calibri" w:eastAsia="Calibri" w:hAnsi="Calibri"/>
          <w:highlight w:val="yellow"/>
        </w:rPr>
        <w:t xml:space="preserve">[HR Contact Name]</w:t>
      </w:r>
      <w:r>
        <w:rPr>
          <w:rFonts w:ascii="Calibri" w:cs="Calibri" w:eastAsia="Calibri" w:hAnsi="Calibri"/>
        </w:rPr>
        <w:t xml:space="preserve">. Tell us before you move or work from another state for more than </w:t>
      </w:r>
      <w:r>
        <w:rPr>
          <w:rFonts w:ascii="Calibri" w:cs="Calibri" w:eastAsia="Calibri" w:hAnsi="Calibri"/>
          <w:highlight w:val="yellow"/>
        </w:rPr>
        <w:t xml:space="preserve">[Number]</w:t>
      </w:r>
      <w:r>
        <w:rPr>
          <w:rFonts w:ascii="Calibri" w:cs="Calibri" w:eastAsia="Calibri" w:hAnsi="Calibri"/>
        </w:rPr>
        <w:t xml:space="preserve"> days, because it may affect tax and legal requirements.</w:t>
      </w:r>
    </w:p>
    <w:p>
      <w:pPr>
        <w:pStyle w:val="Heading2"/>
      </w:pPr>
      <w:r>
        <w:rPr>
          <w:rFonts w:ascii="Calibri" w:cs="Calibri" w:eastAsia="Calibri" w:hAnsi="Calibri"/>
        </w:rPr>
        <w:t xml:space="preserve">Hours and availability</w:t>
      </w:r>
    </w:p>
    <w:p>
      <w:pPr>
        <w:spacing w:after="120"/>
      </w:pPr>
      <w:r>
        <w:rPr>
          <w:rFonts w:ascii="Calibri" w:cs="Calibri" w:eastAsia="Calibri" w:hAnsi="Calibri"/>
        </w:rPr>
        <w:t xml:space="preserve">Your core hours are </w:t>
      </w:r>
      <w:r>
        <w:rPr>
          <w:rFonts w:ascii="Calibri" w:cs="Calibri" w:eastAsia="Calibri" w:hAnsi="Calibri"/>
          <w:highlight w:val="yellow"/>
        </w:rPr>
        <w:t xml:space="preserve">[Core Hours]</w:t>
      </w:r>
      <w:r>
        <w:rPr>
          <w:rFonts w:ascii="Calibri" w:cs="Calibri" w:eastAsia="Calibri" w:hAnsi="Calibri"/>
        </w:rPr>
        <w:t xml:space="preserve"> in </w:t>
      </w:r>
      <w:r>
        <w:rPr>
          <w:rFonts w:ascii="Calibri" w:cs="Calibri" w:eastAsia="Calibri" w:hAnsi="Calibri"/>
          <w:highlight w:val="yellow"/>
        </w:rPr>
        <w:t xml:space="preserve">[Time Zone]</w:t>
      </w:r>
      <w:r>
        <w:rPr>
          <w:rFonts w:ascii="Calibri" w:cs="Calibri" w:eastAsia="Calibri" w:hAnsi="Calibri"/>
        </w:rPr>
        <w:t xml:space="preserve">. Non-exempt employees must record all hours worked and breaks, and must not work outside approved hours without permission. Any time you do work will be recorded and paid.</w:t>
      </w:r>
    </w:p>
    <w:p>
      <w:pPr>
        <w:pStyle w:val="Heading2"/>
      </w:pPr>
      <w:r>
        <w:rPr>
          <w:rFonts w:ascii="Calibri" w:cs="Calibri" w:eastAsia="Calibri" w:hAnsi="Calibri"/>
        </w:rPr>
        <w:t xml:space="preserve">Equipment</w:t>
      </w:r>
    </w:p>
    <w:p>
      <w:pPr>
        <w:spacing w:after="120"/>
      </w:pPr>
      <w:r>
        <w:rPr>
          <w:rFonts w:ascii="Calibri" w:cs="Calibri" w:eastAsia="Calibri" w:hAnsi="Calibri"/>
          <w:highlight w:val="yellow"/>
        </w:rPr>
        <w:t xml:space="preserve">[Company Name]</w:t>
      </w:r>
      <w:r>
        <w:rPr>
          <w:rFonts w:ascii="Calibri" w:cs="Calibri" w:eastAsia="Calibri" w:hAnsi="Calibri"/>
        </w:rPr>
        <w:t xml:space="preserve"> will provide </w:t>
      </w:r>
      <w:r>
        <w:rPr>
          <w:rFonts w:ascii="Calibri" w:cs="Calibri" w:eastAsia="Calibri" w:hAnsi="Calibri"/>
          <w:highlight w:val="yellow"/>
        </w:rPr>
        <w:t xml:space="preserve">[List of Equipment]</w:t>
      </w:r>
      <w:r>
        <w:rPr>
          <w:rFonts w:ascii="Calibri" w:cs="Calibri" w:eastAsia="Calibri" w:hAnsi="Calibri"/>
        </w:rPr>
        <w:t xml:space="preserve">. Company equipment remains company property and must be returned when you leave or stop working remotely.</w:t>
      </w:r>
    </w:p>
    <w:p>
      <w:pPr>
        <w:pStyle w:val="Heading2"/>
      </w:pPr>
      <w:r>
        <w:rPr>
          <w:rFonts w:ascii="Calibri" w:cs="Calibri" w:eastAsia="Calibri" w:hAnsi="Calibri"/>
        </w:rPr>
        <w:t xml:space="preserve">Expenses</w:t>
      </w:r>
    </w:p>
    <w:p>
      <w:pPr>
        <w:spacing w:after="120"/>
      </w:pPr>
      <w:r>
        <w:rPr>
          <w:rFonts w:ascii="Calibri" w:cs="Calibri" w:eastAsia="Calibri" w:hAnsi="Calibri"/>
          <w:highlight w:val="yellow"/>
        </w:rPr>
        <w:t xml:space="preserve">[Company Name]</w:t>
      </w:r>
      <w:r>
        <w:rPr>
          <w:rFonts w:ascii="Calibri" w:cs="Calibri" w:eastAsia="Calibri" w:hAnsi="Calibri"/>
        </w:rPr>
        <w:t xml:space="preserve"> will reimburse </w:t>
      </w:r>
      <w:r>
        <w:rPr>
          <w:rFonts w:ascii="Calibri" w:cs="Calibri" w:eastAsia="Calibri" w:hAnsi="Calibri"/>
          <w:highlight w:val="yellow"/>
        </w:rPr>
        <w:t xml:space="preserve">[describe covered expenses]</w:t>
      </w:r>
      <w:r>
        <w:rPr>
          <w:rFonts w:ascii="Calibri" w:cs="Calibri" w:eastAsia="Calibri" w:hAnsi="Calibri"/>
        </w:rPr>
        <w:t xml:space="preserve"> in line with the expense reimbursement policy and any state law that applies.</w:t>
      </w:r>
    </w:p>
    <w:p>
      <w:pPr>
        <w:pStyle w:val="Heading2"/>
      </w:pPr>
      <w:r>
        <w:rPr>
          <w:rFonts w:ascii="Calibri" w:cs="Calibri" w:eastAsia="Calibri" w:hAnsi="Calibri"/>
        </w:rPr>
        <w:t xml:space="preserve">Security and confidentiality</w:t>
      </w:r>
    </w:p>
    <w:p>
      <w:pPr>
        <w:pStyle w:val="ListParagraph"/>
        <w:numPr>
          <w:ilvl w:val="0"/>
          <w:numId w:val="2"/>
        </w:numPr>
        <w:spacing w:after="60"/>
      </w:pPr>
      <w:r>
        <w:rPr>
          <w:rFonts w:ascii="Calibri" w:cs="Calibri" w:eastAsia="Calibri" w:hAnsi="Calibri"/>
        </w:rPr>
        <w:t xml:space="preserve">Use only approved devices and software for company work.</w:t>
      </w:r>
    </w:p>
    <w:p>
      <w:pPr>
        <w:pStyle w:val="ListParagraph"/>
        <w:numPr>
          <w:ilvl w:val="0"/>
          <w:numId w:val="2"/>
        </w:numPr>
        <w:spacing w:after="60"/>
      </w:pPr>
      <w:r>
        <w:rPr>
          <w:rFonts w:ascii="Calibri" w:cs="Calibri" w:eastAsia="Calibri" w:hAnsi="Calibri"/>
        </w:rPr>
        <w:t xml:space="preserve">Use a secure, password-protected network.</w:t>
      </w:r>
    </w:p>
    <w:p>
      <w:pPr>
        <w:pStyle w:val="ListParagraph"/>
        <w:numPr>
          <w:ilvl w:val="0"/>
          <w:numId w:val="2"/>
        </w:numPr>
        <w:spacing w:after="60"/>
      </w:pPr>
      <w:r>
        <w:rPr>
          <w:rFonts w:ascii="Calibri" w:cs="Calibri" w:eastAsia="Calibri" w:hAnsi="Calibri"/>
        </w:rPr>
        <w:t xml:space="preserve">Lock your screen when away and keep confidential documents out of view.</w:t>
      </w:r>
    </w:p>
    <w:p>
      <w:pPr>
        <w:pStyle w:val="Heading2"/>
      </w:pPr>
      <w:r>
        <w:rPr>
          <w:rFonts w:ascii="Calibri" w:cs="Calibri" w:eastAsia="Calibri" w:hAnsi="Calibri"/>
        </w:rPr>
        <w:t xml:space="preserve">Safety</w:t>
      </w:r>
    </w:p>
    <w:p>
      <w:pPr>
        <w:spacing w:after="120"/>
      </w:pPr>
      <w:r>
        <w:rPr>
          <w:rFonts w:ascii="Calibri" w:cs="Calibri" w:eastAsia="Calibri" w:hAnsi="Calibri"/>
        </w:rPr>
        <w:t xml:space="preserve">Keep your workspace safe and report any work-related injury to </w:t>
      </w:r>
      <w:r>
        <w:rPr>
          <w:rFonts w:ascii="Calibri" w:cs="Calibri" w:eastAsia="Calibri" w:hAnsi="Calibri"/>
          <w:highlight w:val="yellow"/>
        </w:rPr>
        <w:t xml:space="preserve">[Manager Name or Title]</w:t>
      </w:r>
      <w:r>
        <w:rPr>
          <w:rFonts w:ascii="Calibri" w:cs="Calibri" w:eastAsia="Calibri" w:hAnsi="Calibri"/>
        </w:rPr>
        <w:t xml:space="preserve"> right away.</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spacing w:after="120"/>
      </w:pPr>
      <w:r>
        <w:rPr>
          <w:rFonts w:ascii="Calibri" w:cs="Calibri" w:eastAsia="Calibri" w:hAnsi="Calibri"/>
          <w:sz w:val="20"/>
          <w:szCs w:val="20"/>
        </w:rPr>
        <w:t xml:space="preserve">Rules in your state may differ. Federal law sets the minimum. Your state — and sometimes your city or county — may add extra rules on this topic. Check with your state labor department before you use this template.</w:t>
      </w:r>
    </w:p>
    <w:p>
      <w:hyperlink w:history="1" r:id="rIdglfvdcdmgrpoj58tmh4mj">
        <w:r>
          <w:rPr>
            <w:rStyle w:val="Hyperlink"/>
            <w:rFonts w:ascii="Calibri" w:cs="Calibri" w:eastAsia="Calibri" w:hAnsi="Calibri"/>
            <w:sz w:val="20"/>
            <w:szCs w:val="20"/>
          </w:rPr>
          <w:t xml:space="preserve">U.S. Department of Labor – State labor offices</w:t>
        </w:r>
      </w:hyperlink>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nmpdk8y7p50n7ong7h3v3">
        <w:r>
          <w:rPr>
            <w:rStyle w:val="Hyperlink"/>
            <w:rFonts w:ascii="Calibri" w:cs="Calibri" w:eastAsia="Calibri" w:hAnsi="Calibri"/>
            <w:sz w:val="20"/>
            <w:szCs w:val="20"/>
          </w:rPr>
          <w:t xml:space="preserve">U.S. Department of Labor – Fact Sheet #22: Hours worked under the FLSA</w:t>
        </w:r>
      </w:hyperlink>
      <w:r>
        <w:rPr>
          <w:rFonts w:ascii="Calibri" w:cs="Calibri" w:eastAsia="Calibri" w:hAnsi="Calibri"/>
          <w:color w:val="5B6475"/>
          <w:sz w:val="18"/>
          <w:szCs w:val="18"/>
        </w:rPr>
        <w:t xml:space="preserve"> — https://www.dol.gov/agencies/whd/fact-sheets/22-flsa-hours-worked</w:t>
      </w:r>
    </w:p>
    <w:p>
      <w:pPr>
        <w:pStyle w:val="ListParagraph"/>
        <w:numPr>
          <w:ilvl w:val="0"/>
          <w:numId w:val="2"/>
        </w:numPr>
        <w:spacing w:after="60"/>
      </w:pPr>
      <w:hyperlink w:history="1" r:id="rIdabyn_w3qbzqjulegupcen">
        <w:r>
          <w:rPr>
            <w:rStyle w:val="Hyperlink"/>
            <w:rFonts w:ascii="Calibri" w:cs="Calibri" w:eastAsia="Calibri" w:hAnsi="Calibri"/>
            <w:sz w:val="20"/>
            <w:szCs w:val="20"/>
          </w:rPr>
          <w:t xml:space="preserve">U.S. Department of Labor – Overtime pay</w:t>
        </w:r>
      </w:hyperlink>
      <w:r>
        <w:rPr>
          <w:rFonts w:ascii="Calibri" w:cs="Calibri" w:eastAsia="Calibri" w:hAnsi="Calibri"/>
          <w:color w:val="5B6475"/>
          <w:sz w:val="18"/>
          <w:szCs w:val="18"/>
        </w:rPr>
        <w:t xml:space="preserve"> — https://www.dol.gov/agencies/whd/overtime</w:t>
      </w:r>
    </w:p>
    <w:p>
      <w:pPr>
        <w:pStyle w:val="ListParagraph"/>
        <w:numPr>
          <w:ilvl w:val="0"/>
          <w:numId w:val="2"/>
        </w:numPr>
        <w:spacing w:after="60"/>
      </w:pPr>
      <w:hyperlink w:history="1" r:id="rIdcs2c53cfwl_lih_ifhbmq">
        <w:r>
          <w:rPr>
            <w:rStyle w:val="Hyperlink"/>
            <w:rFonts w:ascii="Calibri" w:cs="Calibri" w:eastAsia="Calibri" w:hAnsi="Calibri"/>
            <w:sz w:val="20"/>
            <w:szCs w:val="20"/>
          </w:rPr>
          <w:t xml:space="preserve">U.S. Department of Labor – FLSA protections to pump at work (PUMP Act)</w:t>
        </w:r>
      </w:hyperlink>
      <w:r>
        <w:rPr>
          <w:rFonts w:ascii="Calibri" w:cs="Calibri" w:eastAsia="Calibri" w:hAnsi="Calibri"/>
          <w:color w:val="5B6475"/>
          <w:sz w:val="18"/>
          <w:szCs w:val="18"/>
        </w:rPr>
        <w:t xml:space="preserve"> — https://www.dol.gov/agencies/whd/pump-at-work</w:t>
      </w:r>
    </w:p>
    <w:p>
      <w:pPr>
        <w:pStyle w:val="ListParagraph"/>
        <w:numPr>
          <w:ilvl w:val="0"/>
          <w:numId w:val="2"/>
        </w:numPr>
        <w:spacing w:after="60"/>
      </w:pPr>
      <w:hyperlink w:history="1" r:id="rIdqt_zagoczt4x-9wcnemrf">
        <w:r>
          <w:rPr>
            <w:rStyle w:val="Hyperlink"/>
            <w:rFonts w:ascii="Calibri" w:cs="Calibri" w:eastAsia="Calibri" w:hAnsi="Calibri"/>
            <w:sz w:val="20"/>
            <w:szCs w:val="20"/>
          </w:rPr>
          <w:t xml:space="preserve">Internal Revenue Service – Publication 15 (Circular E), Employer's Tax Guide</w:t>
        </w:r>
      </w:hyperlink>
      <w:r>
        <w:rPr>
          <w:rFonts w:ascii="Calibri" w:cs="Calibri" w:eastAsia="Calibri" w:hAnsi="Calibri"/>
          <w:color w:val="5B6475"/>
          <w:sz w:val="18"/>
          <w:szCs w:val="18"/>
        </w:rPr>
        <w:t xml:space="preserve"> — https://www.irs.gov/publications/p15</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lfvdcdmgrpoj58tmh4mj" Type="http://schemas.openxmlformats.org/officeDocument/2006/relationships/hyperlink" Target="https://www.dol.gov/agencies/whd/state/contacts" TargetMode="External"/><Relationship Id="rIdnmpdk8y7p50n7ong7h3v3" Type="http://schemas.openxmlformats.org/officeDocument/2006/relationships/hyperlink" Target="https://www.dol.gov/agencies/whd/fact-sheets/22-flsa-hours-worked" TargetMode="External"/><Relationship Id="rIdabyn_w3qbzqjulegupcen" Type="http://schemas.openxmlformats.org/officeDocument/2006/relationships/hyperlink" Target="https://www.dol.gov/agencies/whd/overtime" TargetMode="External"/><Relationship Id="rIdcs2c53cfwl_lih_ifhbmq" Type="http://schemas.openxmlformats.org/officeDocument/2006/relationships/hyperlink" Target="https://www.dol.gov/agencies/whd/pump-at-work" TargetMode="External"/><Relationship Id="rIdqt_zagoczt4x-9wcnemrf" Type="http://schemas.openxmlformats.org/officeDocument/2006/relationships/hyperlink" Target="https://www.irs.gov/publications/p15"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and Hybrid Work Policy Template</dc:title>
  <dc:creator>MadyHR.ai</dc:creator>
  <dc:description>Free remote and hybrid work policy template for US employers. Eligibility, hours, equipment, expenses and data security. Editable Word download.</dc:description>
  <cp:lastModifiedBy>Un-named</cp:lastModifiedBy>
  <cp:revision>1</cp:revision>
  <dcterms:created xsi:type="dcterms:W3CDTF">2026-10-14T05:25:26.713Z</dcterms:created>
  <dcterms:modified xsi:type="dcterms:W3CDTF">2026-10-14T05:25:26.713Z</dcterms:modified>
</cp:coreProperties>
</file>

<file path=docProps/custom.xml><?xml version="1.0" encoding="utf-8"?>
<Properties xmlns="http://schemas.openxmlformats.org/officeDocument/2006/custom-properties" xmlns:vt="http://schemas.openxmlformats.org/officeDocument/2006/docPropsVTypes"/>
</file>